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6B729A" w:rsidRDefault="009F366D">
      <w:pPr>
        <w:widowControl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6B729A" w:rsidRDefault="009F366D">
      <w:pPr>
        <w:widowControl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B729A" w:rsidRDefault="006B729A">
      <w:pPr>
        <w:jc w:val="center"/>
        <w:rPr>
          <w:b/>
          <w:sz w:val="28"/>
          <w:szCs w:val="28"/>
        </w:rPr>
      </w:pP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финансовых рынков и финансового инжиниринга </w:t>
      </w:r>
    </w:p>
    <w:p w:rsidR="006B729A" w:rsidRDefault="009F366D">
      <w:pPr>
        <w:contextualSpacing/>
        <w:jc w:val="center"/>
        <w:rPr>
          <w:rFonts w:eastAsia="DejaVu Sans" w:cs="Calibri"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 xml:space="preserve">Финансового факультета </w:t>
      </w:r>
    </w:p>
    <w:p w:rsidR="006B729A" w:rsidRDefault="006B729A">
      <w:pPr>
        <w:widowControl w:val="0"/>
        <w:jc w:val="center"/>
        <w:rPr>
          <w:b/>
          <w:sz w:val="32"/>
          <w:szCs w:val="32"/>
        </w:rPr>
      </w:pPr>
    </w:p>
    <w:p w:rsidR="006B729A" w:rsidRDefault="009F366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УТВЕРЖДАЮ</w:t>
      </w:r>
    </w:p>
    <w:p w:rsidR="006B729A" w:rsidRDefault="006B729A">
      <w:pPr>
        <w:rPr>
          <w:color w:val="000000" w:themeColor="text1"/>
          <w:sz w:val="28"/>
          <w:szCs w:val="28"/>
        </w:rPr>
      </w:pPr>
    </w:p>
    <w:p w:rsidR="006B729A" w:rsidRDefault="009F366D">
      <w:pPr>
        <w:spacing w:line="276" w:lineRule="auto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                                                                       Проректор по учебной и   </w:t>
      </w:r>
    </w:p>
    <w:p w:rsidR="006B729A" w:rsidRDefault="009F366D">
      <w:pPr>
        <w:spacing w:line="276" w:lineRule="auto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                                                                       методической работе </w:t>
      </w:r>
    </w:p>
    <w:p w:rsidR="006B729A" w:rsidRDefault="00D53DEF">
      <w:pPr>
        <w:spacing w:line="276" w:lineRule="auto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                                                                       </w:t>
      </w:r>
      <w:r w:rsidR="009F366D">
        <w:rPr>
          <w:rFonts w:eastAsia="Calibri"/>
          <w:color w:val="000000" w:themeColor="text1"/>
          <w:sz w:val="28"/>
          <w:szCs w:val="28"/>
          <w:lang w:eastAsia="en-US"/>
        </w:rPr>
        <w:t xml:space="preserve">Е.А. Каменева </w:t>
      </w:r>
    </w:p>
    <w:p w:rsidR="006B729A" w:rsidRDefault="009F366D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«</w:t>
      </w:r>
      <w:r w:rsidR="00D53DEF">
        <w:rPr>
          <w:color w:val="000000" w:themeColor="text1"/>
          <w:sz w:val="28"/>
          <w:szCs w:val="28"/>
        </w:rPr>
        <w:t>26</w:t>
      </w:r>
      <w:r>
        <w:rPr>
          <w:color w:val="000000" w:themeColor="text1"/>
          <w:sz w:val="28"/>
          <w:szCs w:val="28"/>
        </w:rPr>
        <w:t xml:space="preserve">» </w:t>
      </w:r>
      <w:r w:rsidR="00D53DEF">
        <w:rPr>
          <w:color w:val="000000" w:themeColor="text1"/>
          <w:sz w:val="28"/>
          <w:szCs w:val="28"/>
        </w:rPr>
        <w:t>марта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 2024 г.</w:t>
      </w:r>
    </w:p>
    <w:p w:rsidR="006B729A" w:rsidRDefault="006B729A">
      <w:pPr>
        <w:widowControl w:val="0"/>
        <w:jc w:val="center"/>
        <w:rPr>
          <w:b/>
          <w:sz w:val="32"/>
          <w:szCs w:val="32"/>
        </w:rPr>
      </w:pPr>
    </w:p>
    <w:p w:rsidR="006B729A" w:rsidRDefault="006B729A">
      <w:pPr>
        <w:widowControl w:val="0"/>
        <w:jc w:val="center"/>
        <w:rPr>
          <w:b/>
          <w:sz w:val="32"/>
          <w:szCs w:val="32"/>
        </w:rPr>
      </w:pPr>
    </w:p>
    <w:p w:rsidR="006B729A" w:rsidRDefault="006B729A">
      <w:pPr>
        <w:widowControl w:val="0"/>
        <w:rPr>
          <w:b/>
          <w:sz w:val="32"/>
          <w:szCs w:val="32"/>
        </w:rPr>
      </w:pP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Б.Б. Рубцов, Н.И. Труничкин</w:t>
      </w: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9F366D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СОВРЕМЕННЫЕ МОДЕЛИ РЕГУЛИРОВАНИЯ </w:t>
      </w: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ФИНАНСОВОГО РЫНКА</w:t>
      </w:r>
      <w:r>
        <w:rPr>
          <w:b/>
          <w:sz w:val="28"/>
          <w:szCs w:val="28"/>
        </w:rPr>
        <w:t xml:space="preserve"> </w:t>
      </w: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9F366D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14A3C" w:rsidRDefault="009F366D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 «Финансы и кредит», </w:t>
      </w:r>
    </w:p>
    <w:p w:rsidR="006B729A" w:rsidRDefault="009F366D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направленность программы магистратуры </w:t>
      </w:r>
    </w:p>
    <w:p w:rsidR="006B729A" w:rsidRDefault="009F366D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>
        <w:rPr>
          <w:sz w:val="28"/>
          <w:szCs w:val="28"/>
        </w:rPr>
        <w:t>Финансовая математика и анализ рынков</w:t>
      </w:r>
      <w:r>
        <w:rPr>
          <w:rFonts w:eastAsia="Calibri"/>
          <w:sz w:val="28"/>
          <w:szCs w:val="28"/>
          <w:lang w:eastAsia="en-US"/>
        </w:rPr>
        <w:t>»</w:t>
      </w:r>
    </w:p>
    <w:p w:rsidR="006B729A" w:rsidRDefault="006B729A">
      <w:pPr>
        <w:widowControl w:val="0"/>
        <w:rPr>
          <w:i/>
          <w:sz w:val="28"/>
          <w:szCs w:val="28"/>
        </w:rPr>
      </w:pPr>
    </w:p>
    <w:p w:rsidR="006B729A" w:rsidRDefault="006B729A">
      <w:pPr>
        <w:widowControl w:val="0"/>
        <w:jc w:val="center"/>
        <w:rPr>
          <w:i/>
          <w:sz w:val="28"/>
          <w:szCs w:val="28"/>
        </w:rPr>
      </w:pPr>
    </w:p>
    <w:p w:rsidR="006B729A" w:rsidRDefault="009F366D">
      <w:pPr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6B729A" w:rsidRDefault="009F366D">
      <w:pPr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43 от 19 марта 2024г.</w:t>
      </w:r>
      <w:r>
        <w:rPr>
          <w:iCs/>
          <w:sz w:val="28"/>
          <w:szCs w:val="28"/>
        </w:rPr>
        <w:t>)</w:t>
      </w:r>
    </w:p>
    <w:p w:rsidR="006B729A" w:rsidRDefault="006B729A">
      <w:pPr>
        <w:widowControl w:val="0"/>
        <w:jc w:val="center"/>
        <w:rPr>
          <w:iCs/>
          <w:sz w:val="28"/>
          <w:szCs w:val="28"/>
        </w:rPr>
      </w:pPr>
    </w:p>
    <w:p w:rsidR="006B729A" w:rsidRDefault="009F36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финансовых рынков и финансового инжиниринга </w:t>
      </w:r>
    </w:p>
    <w:p w:rsidR="006B729A" w:rsidRDefault="009F36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8 от 29 февраля 2024 г.)</w:t>
      </w:r>
    </w:p>
    <w:p w:rsidR="006B729A" w:rsidRDefault="006B729A">
      <w:pPr>
        <w:widowControl w:val="0"/>
        <w:jc w:val="center"/>
        <w:rPr>
          <w:sz w:val="28"/>
          <w:szCs w:val="28"/>
        </w:rPr>
      </w:pPr>
    </w:p>
    <w:p w:rsidR="006B729A" w:rsidRDefault="006B729A">
      <w:pPr>
        <w:widowControl w:val="0"/>
        <w:jc w:val="center"/>
        <w:rPr>
          <w:sz w:val="28"/>
          <w:szCs w:val="28"/>
        </w:rPr>
      </w:pPr>
    </w:p>
    <w:p w:rsidR="006B729A" w:rsidRDefault="006B729A">
      <w:pPr>
        <w:widowControl w:val="0"/>
        <w:rPr>
          <w:sz w:val="28"/>
          <w:szCs w:val="28"/>
        </w:rPr>
      </w:pPr>
    </w:p>
    <w:p w:rsidR="006B729A" w:rsidRDefault="009F366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6B729A">
      <w:pPr>
        <w:widowControl w:val="0"/>
        <w:jc w:val="center"/>
        <w:rPr>
          <w:b/>
          <w:sz w:val="28"/>
          <w:szCs w:val="28"/>
        </w:rPr>
      </w:pPr>
    </w:p>
    <w:p w:rsidR="006B729A" w:rsidRDefault="006B729A">
      <w:pPr>
        <w:rPr>
          <w:b/>
          <w:bCs/>
          <w:sz w:val="28"/>
          <w:szCs w:val="28"/>
        </w:rPr>
      </w:pPr>
    </w:p>
    <w:p w:rsidR="006B729A" w:rsidRDefault="009F36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  <w:r>
        <w:rPr>
          <w:b/>
          <w:bCs/>
        </w:rPr>
        <w:tab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8897"/>
        <w:gridCol w:w="568"/>
      </w:tblGrid>
      <w:tr w:rsidR="006B729A">
        <w:tc>
          <w:tcPr>
            <w:tcW w:w="8896" w:type="dxa"/>
            <w:shd w:val="clear" w:color="auto" w:fill="auto"/>
          </w:tcPr>
          <w:p w:rsidR="006B729A" w:rsidRDefault="006B729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6B729A" w:rsidRDefault="009F366D">
            <w:pPr>
              <w:widowControl w:val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дисциплины……………………………………………...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sz w:val="28"/>
                <w:szCs w:val="28"/>
              </w:rPr>
              <w:t xml:space="preserve"> 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программы………...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tabs>
                <w:tab w:val="right" w:leader="hyphen" w:pos="8568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занятий………………………………………………………...…..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 Содержание дисциплины………………………………………………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план……………………………………………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дисциплине……………………………………..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дисциплины…………………...……………..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tabs>
                <w:tab w:val="righ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sz w:val="28"/>
                <w:szCs w:val="28"/>
              </w:rPr>
              <w:t>……………...……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6B729A">
        <w:trPr>
          <w:trHeight w:val="473"/>
        </w:trPr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дисциплины………………………………………………………………….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…………………………..……………………………..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 w:rsidR="006B729A">
        <w:tc>
          <w:tcPr>
            <w:tcW w:w="8896" w:type="dxa"/>
            <w:shd w:val="clear" w:color="auto" w:fill="auto"/>
          </w:tcPr>
          <w:p w:rsidR="006B729A" w:rsidRDefault="009F366D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B729A" w:rsidRDefault="009F366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</w:tbl>
    <w:p w:rsidR="00D2149F" w:rsidRDefault="00D2149F">
      <w:pPr>
        <w:spacing w:line="276" w:lineRule="auto"/>
        <w:rPr>
          <w:b/>
          <w:sz w:val="28"/>
          <w:szCs w:val="28"/>
        </w:rPr>
      </w:pPr>
    </w:p>
    <w:p w:rsidR="00D2149F" w:rsidRDefault="00D2149F">
      <w:pPr>
        <w:spacing w:line="276" w:lineRule="auto"/>
        <w:rPr>
          <w:b/>
          <w:sz w:val="28"/>
          <w:szCs w:val="28"/>
        </w:rPr>
      </w:pPr>
    </w:p>
    <w:p w:rsidR="00D2149F" w:rsidRDefault="00D2149F">
      <w:pPr>
        <w:spacing w:line="276" w:lineRule="auto"/>
        <w:rPr>
          <w:b/>
          <w:sz w:val="28"/>
          <w:szCs w:val="28"/>
        </w:rPr>
      </w:pPr>
    </w:p>
    <w:p w:rsidR="00D2149F" w:rsidRDefault="00D2149F">
      <w:pPr>
        <w:spacing w:line="276" w:lineRule="auto"/>
        <w:rPr>
          <w:b/>
          <w:sz w:val="28"/>
          <w:szCs w:val="28"/>
        </w:rPr>
      </w:pPr>
    </w:p>
    <w:p w:rsidR="00D2149F" w:rsidRDefault="00D2149F">
      <w:pPr>
        <w:spacing w:line="276" w:lineRule="auto"/>
        <w:rPr>
          <w:b/>
          <w:sz w:val="28"/>
          <w:szCs w:val="28"/>
        </w:rPr>
      </w:pPr>
    </w:p>
    <w:p w:rsidR="006B729A" w:rsidRDefault="009F366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дисциплины:</w:t>
      </w:r>
    </w:p>
    <w:p w:rsidR="006B729A" w:rsidRDefault="009F36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«Современные модели регулирования финансового рынка»</w:t>
      </w:r>
    </w:p>
    <w:p w:rsidR="006B729A" w:rsidRDefault="009F36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OLE_LINK64"/>
      <w:bookmarkStart w:id="2" w:name="OLE_LINK65"/>
      <w:bookmarkEnd w:id="1"/>
      <w:bookmarkEnd w:id="2"/>
    </w:p>
    <w:p w:rsidR="006B729A" w:rsidRDefault="009F366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9458" w:type="dxa"/>
        <w:tblInd w:w="-4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1"/>
        <w:gridCol w:w="2436"/>
        <w:gridCol w:w="2831"/>
        <w:gridCol w:w="3280"/>
      </w:tblGrid>
      <w:tr w:rsidR="006B729A">
        <w:trPr>
          <w:trHeight w:val="831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Код компет енции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Наименование компетенции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Индикаторы достижения компетенции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lang w:bidi="ru-RU"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B729A">
        <w:trPr>
          <w:trHeight w:val="2534"/>
        </w:trPr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color w:val="000000"/>
                <w:lang w:bidi="ru-RU"/>
              </w:rPr>
              <w:t>ПКН-1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ind w:left="117" w:right="181" w:hanging="117"/>
            </w:pPr>
            <w:r>
              <w:rPr>
                <w:color w:val="000000"/>
                <w:lang w:eastAsia="en-US"/>
              </w:rPr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Calibri"/>
                <w:color w:val="000000"/>
                <w:lang w:eastAsia="en-US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hd w:val="clear" w:color="auto" w:fill="FFFFFF"/>
              <w:ind w:left="90" w:right="178"/>
              <w:rPr>
                <w:rFonts w:eastAsia="Calibri"/>
                <w:lang w:eastAsia="en-US"/>
              </w:rPr>
            </w:pPr>
            <w:r>
              <w:rPr>
                <w:color w:val="000000"/>
                <w:lang w:eastAsia="en-US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 xml:space="preserve"> Знать </w:t>
            </w:r>
            <w:r>
              <w:rPr>
                <w:rFonts w:eastAsia="Calibri"/>
              </w:rPr>
              <w:t>–с</w:t>
            </w:r>
            <w:r>
              <w:rPr>
                <w:rFonts w:eastAsia="Calibri"/>
                <w:bCs/>
              </w:rPr>
              <w:t xml:space="preserve">овременные системы регулирования финансовых рынков, сложившиеся в странах с различным уровнем развития 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</w:rPr>
              <w:t xml:space="preserve"> Уметь </w:t>
            </w:r>
            <w:r>
              <w:rPr>
                <w:rFonts w:eastAsia="Calibri"/>
              </w:rPr>
              <w:t>-ф</w:t>
            </w:r>
            <w:r>
              <w:rPr>
                <w:rFonts w:eastAsia="Calibri"/>
                <w:bCs/>
              </w:rPr>
              <w:t>ормулировать преимущества и недостатки различных система регулирования и обосновывать рекомендации для российских регулятивных органов</w:t>
            </w:r>
          </w:p>
        </w:tc>
      </w:tr>
      <w:tr w:rsidR="006B729A">
        <w:trPr>
          <w:trHeight w:val="943"/>
        </w:trPr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ind w:left="90" w:right="178"/>
              <w:rPr>
                <w:rFonts w:eastAsia="Calibri"/>
                <w:lang w:eastAsia="en-US"/>
              </w:rPr>
            </w:pPr>
            <w:r>
              <w:rPr>
                <w:color w:val="000000"/>
                <w:lang w:eastAsia="en-US"/>
              </w:rPr>
              <w:t>2. Проводит критический анализ выявленных проблемных ситуаций.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</w:rPr>
              <w:t xml:space="preserve"> Знать </w:t>
            </w:r>
            <w:r>
              <w:rPr>
                <w:rFonts w:eastAsia="Calibri"/>
              </w:rPr>
              <w:t>– и</w:t>
            </w:r>
            <w:r>
              <w:rPr>
                <w:rFonts w:eastAsia="Calibri"/>
                <w:bCs/>
              </w:rPr>
              <w:t>сточники (отечественные и зарубежные), содержащие характеристику проблемных ситуаций в области финансовых рынков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</w:rPr>
              <w:t xml:space="preserve"> Уметь – </w:t>
            </w:r>
            <w:r>
              <w:rPr>
                <w:rFonts w:eastAsia="Calibri"/>
                <w:bCs/>
              </w:rPr>
              <w:t>профессионально давать оценку проблемным ситуациям</w:t>
            </w:r>
          </w:p>
        </w:tc>
      </w:tr>
      <w:tr w:rsidR="006B729A">
        <w:trPr>
          <w:trHeight w:val="1752"/>
        </w:trPr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2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ind w:left="90" w:right="17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Выдвигает самостоятельные гипотезы при решении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ind w:left="90" w:right="17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научно-исследовательских задач в области финансов и кредита.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ind w:left="92" w:right="194" w:firstLine="27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методологические основы постановки научно-исследовательских задач и выдвижения гипотез в области финансов и кредита в целом и состояния финансового рынка в частности.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2" w:right="194" w:hanging="116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Уметь</w:t>
            </w:r>
            <w:r>
              <w:rPr>
                <w:rFonts w:eastAsia="Calibri"/>
                <w:lang w:eastAsia="en-US"/>
              </w:rPr>
              <w:t xml:space="preserve"> – аккумулировать </w:t>
            </w:r>
            <w:r>
              <w:rPr>
                <w:rFonts w:eastAsia="Calibri"/>
                <w:lang w:eastAsia="en-US"/>
              </w:rPr>
              <w:lastRenderedPageBreak/>
              <w:t>релевантную научно-исследовательской задаче информационную базу и анализировать ее с помощью актуальных экономико-математических методов с целью подтверждения/ опровержения выдвинутых гипотез.</w:t>
            </w:r>
          </w:p>
          <w:p w:rsidR="006B729A" w:rsidRDefault="006B729A">
            <w:pPr>
              <w:widowControl w:val="0"/>
              <w:tabs>
                <w:tab w:val="left" w:pos="993"/>
              </w:tabs>
              <w:spacing w:line="259" w:lineRule="auto"/>
              <w:ind w:left="235" w:right="194" w:hanging="116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6B729A">
        <w:trPr>
          <w:trHeight w:val="1642"/>
        </w:trPr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2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ind w:left="90" w:right="17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ind w:left="92" w:right="182" w:hanging="11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Знать</w:t>
            </w:r>
            <w:r>
              <w:rPr>
                <w:lang w:eastAsia="en-US"/>
              </w:rPr>
              <w:t xml:space="preserve"> – фундаментальные и специфические признаки возникновения проблем в процессе совершения операций с финансовыми инструментами для различных категорий участников финансового рынка.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2" w:right="182" w:hanging="116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Уметь</w:t>
            </w:r>
            <w:r>
              <w:rPr>
                <w:rFonts w:eastAsia="Calibri"/>
                <w:lang w:eastAsia="en-US"/>
              </w:rPr>
              <w:t xml:space="preserve"> – разрабатывать обобщенные модели регулирования финансового рынка</w:t>
            </w:r>
          </w:p>
        </w:tc>
      </w:tr>
      <w:tr w:rsidR="006B729A">
        <w:trPr>
          <w:trHeight w:val="2495"/>
        </w:trPr>
        <w:tc>
          <w:tcPr>
            <w:tcW w:w="9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lang w:bidi="ru-RU"/>
              </w:rPr>
            </w:pPr>
            <w:r>
              <w:rPr>
                <w:lang w:bidi="ru-RU"/>
              </w:rPr>
              <w:t>ПК-2</w:t>
            </w:r>
          </w:p>
        </w:tc>
        <w:tc>
          <w:tcPr>
            <w:tcW w:w="24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aff4"/>
              <w:widowControl w:val="0"/>
              <w:snapToGrid w:val="0"/>
              <w:spacing w:after="0" w:line="240" w:lineRule="auto"/>
              <w:ind w:left="110" w:right="1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проводить исследование проблем финансовой устойчивости организаций, в том числе финансово-кредитных, для разработки эффективных методов обеспечения их функционирования с учетом фактора неопределенности</w:t>
            </w:r>
          </w:p>
          <w:p w:rsidR="006B729A" w:rsidRDefault="006B729A">
            <w:pPr>
              <w:widowControl w:val="0"/>
              <w:ind w:left="117" w:right="181"/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ind w:left="90" w:right="178"/>
              <w:rPr>
                <w:rFonts w:eastAsia="Calibri"/>
              </w:rPr>
            </w:pPr>
            <w:r>
              <w:rPr>
                <w:rFonts w:eastAsia="Calibri"/>
              </w:rPr>
              <w:t>1. Применяет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540"/>
              </w:tabs>
              <w:spacing w:after="160" w:line="259" w:lineRule="auto"/>
              <w:ind w:left="92" w:right="182" w:hanging="116"/>
              <w:contextualSpacing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Знать - </w:t>
            </w:r>
            <w:r>
              <w:rPr>
                <w:rFonts w:eastAsia="Calibri"/>
                <w:iCs/>
                <w:lang w:eastAsia="en-US"/>
              </w:rPr>
              <w:t>систему рыночных индикаторов и финансово-экономических показателей</w:t>
            </w:r>
            <w:r>
              <w:rPr>
                <w:rFonts w:eastAsia="Calibri"/>
                <w:bCs/>
                <w:iCs/>
                <w:lang w:eastAsia="en-US"/>
              </w:rPr>
              <w:t xml:space="preserve"> в денежно-кредитной и финансово-банковской сферах.</w:t>
            </w:r>
          </w:p>
          <w:p w:rsidR="006B729A" w:rsidRDefault="009F366D">
            <w:pPr>
              <w:widowControl w:val="0"/>
              <w:spacing w:after="160" w:line="259" w:lineRule="auto"/>
              <w:ind w:left="92" w:right="182" w:hanging="116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Уметь </w:t>
            </w:r>
            <w:r>
              <w:rPr>
                <w:rFonts w:eastAsia="Calibri"/>
                <w:bCs/>
                <w:iCs/>
                <w:lang w:eastAsia="en-US"/>
              </w:rPr>
              <w:t>- самостоятельно осуществлять сбор данных, проводить финансово-экономические расчеты и интерпретировать полученные результаты.</w:t>
            </w:r>
          </w:p>
          <w:p w:rsidR="006B729A" w:rsidRDefault="006B729A">
            <w:pPr>
              <w:widowControl w:val="0"/>
              <w:tabs>
                <w:tab w:val="left" w:pos="993"/>
              </w:tabs>
              <w:spacing w:line="259" w:lineRule="auto"/>
              <w:ind w:left="235" w:right="182" w:hanging="116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B729A">
        <w:trPr>
          <w:trHeight w:val="1721"/>
        </w:trPr>
        <w:tc>
          <w:tcPr>
            <w:tcW w:w="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4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widowControl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ind w:left="90" w:right="178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>
              <w:rPr>
                <w:rFonts w:eastAsia="Calibri"/>
              </w:rPr>
              <w:t>. Демонстрирует навыки выработки адекватных управленческих решений в области управления финансами хозяйствующего субъекта.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2" w:right="182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Знать - </w:t>
            </w:r>
            <w:r>
              <w:rPr>
                <w:rFonts w:eastAsia="Calibri"/>
                <w:bCs/>
                <w:iCs/>
                <w:lang w:eastAsia="en-US"/>
              </w:rPr>
              <w:t xml:space="preserve">методы и приемы анализа и прогнозирования </w:t>
            </w:r>
            <w:r>
              <w:rPr>
                <w:rFonts w:eastAsia="Calibri"/>
                <w:iCs/>
                <w:lang w:eastAsia="en-US"/>
              </w:rPr>
              <w:t>экономических процессов</w:t>
            </w:r>
            <w:r>
              <w:rPr>
                <w:rFonts w:eastAsia="Calibri"/>
                <w:bCs/>
                <w:iCs/>
                <w:lang w:eastAsia="en-US"/>
              </w:rPr>
              <w:t xml:space="preserve"> и явлений на международных финансовых рынках.</w:t>
            </w:r>
          </w:p>
          <w:p w:rsidR="006B729A" w:rsidRDefault="009F366D">
            <w:pPr>
              <w:widowControl w:val="0"/>
              <w:spacing w:after="160" w:line="259" w:lineRule="auto"/>
              <w:ind w:left="92" w:right="182" w:firstLine="27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/>
              </w:rPr>
              <w:t xml:space="preserve">Уметь - </w:t>
            </w:r>
            <w:r>
              <w:rPr>
                <w:rFonts w:eastAsia="Calibri"/>
                <w:bCs/>
                <w:lang w:eastAsia="en-US"/>
              </w:rPr>
              <w:t>интерпретировать и применять на практике результаты экономического и конъюнктурного анализа международных финансовых рынков.</w:t>
            </w:r>
          </w:p>
        </w:tc>
      </w:tr>
    </w:tbl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6B729A" w:rsidRDefault="009F366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3" w:name="_Hlk154349536"/>
      <w:r>
        <w:rPr>
          <w:sz w:val="28"/>
          <w:szCs w:val="28"/>
        </w:rPr>
        <w:t>Современные модели регулирования финансового рынка</w:t>
      </w:r>
      <w:bookmarkEnd w:id="3"/>
      <w:r>
        <w:rPr>
          <w:sz w:val="28"/>
          <w:szCs w:val="28"/>
        </w:rPr>
        <w:t>» входит в модуль дисциплин по выбору, углубляющих освоение программы магистратуры по направлению подготовки 38.04.08 «Финансы и кредит», направленность программы магистратуры «Финансовая математика и анализ рынков»</w:t>
      </w:r>
    </w:p>
    <w:p w:rsidR="006B729A" w:rsidRDefault="006B729A">
      <w:pPr>
        <w:spacing w:line="276" w:lineRule="auto"/>
        <w:ind w:firstLine="708"/>
        <w:jc w:val="both"/>
        <w:rPr>
          <w:sz w:val="28"/>
          <w:szCs w:val="28"/>
        </w:rPr>
      </w:pPr>
    </w:p>
    <w:p w:rsidR="006B729A" w:rsidRDefault="009F366D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B729A" w:rsidRDefault="006B729A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W w:w="9346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358"/>
        <w:gridCol w:w="2774"/>
        <w:gridCol w:w="2214"/>
      </w:tblGrid>
      <w:tr w:rsidR="006B729A">
        <w:trPr>
          <w:trHeight w:val="380"/>
          <w:tblHeader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Вид учебной работы по дисциплине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Всего в з/е и часах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Модуль 5</w:t>
            </w:r>
          </w:p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(в часах)</w:t>
            </w:r>
          </w:p>
        </w:tc>
      </w:tr>
      <w:tr w:rsidR="006B729A">
        <w:trPr>
          <w:trHeight w:val="146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Общая трудоёмкость дисциплины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3/108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108</w:t>
            </w:r>
          </w:p>
        </w:tc>
      </w:tr>
      <w:tr w:rsidR="006B729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i/>
                <w:sz w:val="22"/>
                <w:szCs w:val="22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24</w:t>
            </w:r>
          </w:p>
        </w:tc>
      </w:tr>
      <w:tr w:rsidR="006B729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8</w:t>
            </w:r>
          </w:p>
        </w:tc>
      </w:tr>
      <w:tr w:rsidR="006B729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16</w:t>
            </w:r>
          </w:p>
        </w:tc>
      </w:tr>
      <w:tr w:rsidR="006B729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i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i/>
                <w:sz w:val="22"/>
                <w:szCs w:val="22"/>
                <w:lang w:eastAsia="en-US"/>
              </w:rPr>
              <w:t>84</w:t>
            </w:r>
          </w:p>
        </w:tc>
      </w:tr>
      <w:tr w:rsidR="006B729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spacing w:line="259" w:lineRule="auto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6B729A">
        <w:trPr>
          <w:trHeight w:val="411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Вид промежуточной аттестации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Зачет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tabs>
                <w:tab w:val="center" w:pos="4153"/>
                <w:tab w:val="right" w:pos="8306"/>
              </w:tabs>
              <w:spacing w:line="259" w:lineRule="auto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Зачет</w:t>
            </w:r>
          </w:p>
        </w:tc>
      </w:tr>
    </w:tbl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Содержание дисциплины </w:t>
      </w:r>
    </w:p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widowControl w:val="0"/>
        <w:snapToGri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История формирования систем регулирования финансовых рынков (со второй половины </w:t>
      </w:r>
      <w:r>
        <w:rPr>
          <w:b/>
          <w:bCs/>
          <w:sz w:val="28"/>
          <w:szCs w:val="28"/>
          <w:lang w:val="en-US"/>
        </w:rPr>
        <w:t>XIX</w:t>
      </w:r>
      <w:r>
        <w:rPr>
          <w:b/>
          <w:bCs/>
          <w:sz w:val="28"/>
          <w:szCs w:val="28"/>
        </w:rPr>
        <w:t xml:space="preserve"> века)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акционерного законодательства в европейских странах.  Регулирование денежно-кредитных систем, переход к золото-монетному стандарту. Великая депрессия и отход от золотого стандарта, переход к фиатной денежной системе. Новый курс Ф.Д. Рузвельта и формирование современной системы регулирования финансового рынка. Основные законы в области фондового рынка и банков, принятые в это время и их влияние на нормативную базу других стран. Формирование международной валютно-финансовой системы.</w:t>
      </w:r>
    </w:p>
    <w:p w:rsidR="006B729A" w:rsidRDefault="006B729A">
      <w:pPr>
        <w:widowControl w:val="0"/>
        <w:snapToGrid w:val="0"/>
        <w:ind w:firstLine="709"/>
        <w:jc w:val="both"/>
        <w:rPr>
          <w:sz w:val="28"/>
          <w:szCs w:val="28"/>
        </w:rPr>
      </w:pPr>
    </w:p>
    <w:p w:rsidR="006B729A" w:rsidRDefault="009F366D">
      <w:pPr>
        <w:ind w:firstLine="709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2. Современные модели регулирования</w:t>
      </w:r>
    </w:p>
    <w:p w:rsidR="006B729A" w:rsidRDefault="009F366D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Классификация моделей регулирования.</w:t>
      </w:r>
    </w:p>
    <w:p w:rsidR="006B729A" w:rsidRDefault="009F366D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Отраслевая модель регулирования финансового рынка. Модель единого регулятора: преимущества и недостатки. Модель  </w:t>
      </w:r>
      <w:r>
        <w:rPr>
          <w:bCs/>
          <w:color w:val="000000" w:themeColor="text1"/>
          <w:sz w:val="28"/>
          <w:szCs w:val="28"/>
          <w:lang w:val="en-US"/>
        </w:rPr>
        <w:t>twin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lang w:val="en-US"/>
        </w:rPr>
        <w:t>peaks</w:t>
      </w:r>
      <w:r>
        <w:rPr>
          <w:bCs/>
          <w:color w:val="000000" w:themeColor="text1"/>
          <w:sz w:val="28"/>
          <w:szCs w:val="28"/>
        </w:rPr>
        <w:t>. Формирование модели регулирования в Российской Федерации: от отраслевой к мегарегулятору. Соотношение между государственным и саморегулированием.</w:t>
      </w:r>
    </w:p>
    <w:p w:rsidR="006B729A" w:rsidRDefault="006B729A">
      <w:pPr>
        <w:widowControl w:val="0"/>
        <w:snapToGrid w:val="0"/>
        <w:ind w:firstLine="709"/>
        <w:jc w:val="both"/>
        <w:rPr>
          <w:sz w:val="28"/>
          <w:szCs w:val="28"/>
        </w:rPr>
      </w:pP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Система регулирования финансового рынка США</w:t>
      </w: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sz w:val="28"/>
          <w:szCs w:val="28"/>
        </w:rPr>
        <w:t>Формирование основ системы регулирования финансовых рынков в США. Банковский акт 1933 г. (Закон Гласса-Стигала), Закон о ценных бумагах 1933 г., Закон об обращении ценных бумаг 1934 г., Закон об инвестиционных фондах 1940 г. Изменения в системе регулирования после Второй мировой войны. Современная система органов регулирования. Банковские регуляторы: ФРС, Офис контролера денежного обращения (</w:t>
      </w:r>
      <w:r>
        <w:rPr>
          <w:sz w:val="28"/>
          <w:szCs w:val="28"/>
          <w:lang w:val="en-US"/>
        </w:rPr>
        <w:t>OCC</w:t>
      </w:r>
      <w:r>
        <w:rPr>
          <w:sz w:val="28"/>
          <w:szCs w:val="28"/>
        </w:rPr>
        <w:t>), Федеральная корпорация страхования депозитов (</w:t>
      </w:r>
      <w:r>
        <w:rPr>
          <w:sz w:val="28"/>
          <w:szCs w:val="28"/>
          <w:lang w:val="en-US"/>
        </w:rPr>
        <w:t>FDIC</w:t>
      </w:r>
      <w:r>
        <w:rPr>
          <w:sz w:val="28"/>
          <w:szCs w:val="28"/>
        </w:rPr>
        <w:t>). Регуляторы фондового рынка и рынка производных: Комиссия по рынку ценных бумаг и биржам (</w:t>
      </w:r>
      <w:r>
        <w:rPr>
          <w:sz w:val="28"/>
          <w:szCs w:val="28"/>
          <w:lang w:val="en-US"/>
        </w:rPr>
        <w:t>SEC</w:t>
      </w:r>
      <w:r>
        <w:rPr>
          <w:sz w:val="28"/>
          <w:szCs w:val="28"/>
        </w:rPr>
        <w:t>), Комиссия по товарным биржам (</w:t>
      </w:r>
      <w:r>
        <w:rPr>
          <w:sz w:val="28"/>
          <w:szCs w:val="28"/>
          <w:lang w:val="en-US"/>
        </w:rPr>
        <w:t>CFTC</w:t>
      </w:r>
      <w:r>
        <w:rPr>
          <w:sz w:val="28"/>
          <w:szCs w:val="28"/>
        </w:rPr>
        <w:t xml:space="preserve">). Саморегулируемые организации на рынке ценных бумаг США (биржи, </w:t>
      </w:r>
      <w:r>
        <w:rPr>
          <w:sz w:val="28"/>
          <w:szCs w:val="28"/>
          <w:lang w:val="en-US"/>
        </w:rPr>
        <w:t>FINRA</w:t>
      </w:r>
      <w:r>
        <w:rPr>
          <w:sz w:val="28"/>
          <w:szCs w:val="28"/>
        </w:rPr>
        <w:t>).</w:t>
      </w: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729A" w:rsidRDefault="009F366D">
      <w:pPr>
        <w:widowControl w:val="0"/>
        <w:snapToGri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Система регулирования финансового рынка стран Европейского союза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наднациональной системы регулирования в ЕС. 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Директивы ЕС в области финансовых рынков. Европейская система финансового надзора </w:t>
      </w:r>
      <w:r>
        <w:rPr>
          <w:color w:val="202122"/>
          <w:sz w:val="28"/>
          <w:szCs w:val="28"/>
          <w:shd w:val="clear" w:color="auto" w:fill="FFFFFF"/>
        </w:rPr>
        <w:t>(ESFS).</w:t>
      </w:r>
      <w:r>
        <w:rPr>
          <w:sz w:val="28"/>
          <w:szCs w:val="28"/>
        </w:rPr>
        <w:t xml:space="preserve"> Функции Европейского центрального банка (</w:t>
      </w:r>
      <w:r>
        <w:rPr>
          <w:sz w:val="28"/>
          <w:szCs w:val="28"/>
          <w:lang w:val="en-US"/>
        </w:rPr>
        <w:t>ECB</w:t>
      </w:r>
      <w:r>
        <w:rPr>
          <w:sz w:val="28"/>
          <w:szCs w:val="28"/>
        </w:rPr>
        <w:t>), Европейского банковского регулятора (</w:t>
      </w:r>
      <w:r>
        <w:rPr>
          <w:sz w:val="28"/>
          <w:szCs w:val="28"/>
          <w:lang w:val="en-US"/>
        </w:rPr>
        <w:t>EBA</w:t>
      </w:r>
      <w:r>
        <w:rPr>
          <w:sz w:val="28"/>
          <w:szCs w:val="28"/>
        </w:rPr>
        <w:t>), Европейского регулятора рынка ценных бумаг (</w:t>
      </w:r>
      <w:r>
        <w:rPr>
          <w:sz w:val="28"/>
          <w:szCs w:val="28"/>
          <w:lang w:val="en-US"/>
        </w:rPr>
        <w:t>ESMA</w:t>
      </w:r>
      <w:r>
        <w:rPr>
          <w:sz w:val="28"/>
          <w:szCs w:val="28"/>
        </w:rPr>
        <w:t>), Европейского регулятора страховщиков и пенсионных фондов (</w:t>
      </w:r>
      <w:r>
        <w:rPr>
          <w:sz w:val="28"/>
          <w:szCs w:val="28"/>
          <w:lang w:val="en-US"/>
        </w:rPr>
        <w:t>EIOPA</w:t>
      </w:r>
      <w:r>
        <w:rPr>
          <w:sz w:val="28"/>
          <w:szCs w:val="28"/>
        </w:rPr>
        <w:t>). Организация макропруденциального надзора (</w:t>
      </w:r>
      <w:r>
        <w:rPr>
          <w:sz w:val="28"/>
          <w:szCs w:val="28"/>
          <w:lang w:val="en-US"/>
        </w:rPr>
        <w:t>ESRB</w:t>
      </w:r>
      <w:r>
        <w:rPr>
          <w:sz w:val="28"/>
          <w:szCs w:val="28"/>
        </w:rPr>
        <w:t>)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финансовых рынков устойчивого развития. Таксономия Европейского союза в области устойчивого развития.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национального регулирования финансовых рынков ведущих стран Европейского союза и Великобритании.</w:t>
      </w:r>
    </w:p>
    <w:p w:rsidR="006B729A" w:rsidRDefault="006B729A">
      <w:pPr>
        <w:widowControl w:val="0"/>
        <w:snapToGrid w:val="0"/>
        <w:ind w:firstLine="709"/>
        <w:jc w:val="both"/>
        <w:rPr>
          <w:sz w:val="28"/>
          <w:szCs w:val="28"/>
        </w:rPr>
      </w:pPr>
    </w:p>
    <w:p w:rsidR="006B729A" w:rsidRDefault="009F366D">
      <w:pPr>
        <w:widowControl w:val="0"/>
        <w:snapToGri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Система регулирования финансового рынка стран БРИКС и ЕАЭС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регулирования финансового рынка КНР. Система регулирования финансового рынка в Индии. Формирование общего финансового рынка стран ЕАЭС. Наднациональное регулирование в рамках ЕАЭС. Функции Евразийской экономической комиссии (ЕЭК).</w:t>
      </w:r>
    </w:p>
    <w:p w:rsidR="006B729A" w:rsidRDefault="006B729A">
      <w:pPr>
        <w:widowControl w:val="0"/>
        <w:snapToGrid w:val="0"/>
        <w:ind w:firstLine="709"/>
        <w:jc w:val="both"/>
        <w:rPr>
          <w:sz w:val="28"/>
          <w:szCs w:val="28"/>
        </w:rPr>
      </w:pPr>
    </w:p>
    <w:p w:rsidR="006B729A" w:rsidRDefault="009F366D">
      <w:pPr>
        <w:widowControl w:val="0"/>
        <w:snapToGri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Регулирование международных финансовых рынков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 валютный фонд, Мировой банк, Банк международных расчетов. Международная организация комиссий по ценным бумагам (IOCSO), Всемирная федерация бирж (WF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и региональные биржевые объединения (Федерация бирж Европы и Азии </w:t>
      </w:r>
      <w:r>
        <w:rPr>
          <w:sz w:val="28"/>
          <w:szCs w:val="28"/>
          <w:lang w:val="en-US"/>
        </w:rPr>
        <w:t>FEAS</w:t>
      </w:r>
      <w:r>
        <w:rPr>
          <w:sz w:val="28"/>
          <w:szCs w:val="28"/>
        </w:rPr>
        <w:t xml:space="preserve">, Федерация европейских фондовых бирж </w:t>
      </w:r>
      <w:r>
        <w:rPr>
          <w:sz w:val="28"/>
          <w:szCs w:val="28"/>
          <w:lang w:val="en-US"/>
        </w:rPr>
        <w:t>FESE</w:t>
      </w:r>
      <w:r>
        <w:rPr>
          <w:sz w:val="28"/>
          <w:szCs w:val="28"/>
        </w:rPr>
        <w:t>).  Совет по финансовой стабильности (</w:t>
      </w:r>
      <w:r>
        <w:rPr>
          <w:sz w:val="28"/>
          <w:szCs w:val="28"/>
          <w:lang w:val="en-US"/>
        </w:rPr>
        <w:t>FSB</w:t>
      </w:r>
      <w:r>
        <w:rPr>
          <w:sz w:val="28"/>
          <w:szCs w:val="28"/>
        </w:rPr>
        <w:t>) как главный координатор усилий по укреплению мировой финансовой архитектуры.</w:t>
      </w:r>
    </w:p>
    <w:p w:rsidR="006B729A" w:rsidRDefault="006B729A">
      <w:pPr>
        <w:widowControl w:val="0"/>
        <w:snapToGrid w:val="0"/>
        <w:ind w:firstLine="709"/>
        <w:jc w:val="both"/>
        <w:rPr>
          <w:b/>
          <w:bCs/>
          <w:sz w:val="28"/>
          <w:szCs w:val="28"/>
        </w:rPr>
      </w:pPr>
    </w:p>
    <w:p w:rsidR="006B729A" w:rsidRDefault="009F366D">
      <w:pPr>
        <w:widowControl w:val="0"/>
        <w:snapToGri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7. Регулирование цифровых финансовых активов </w:t>
      </w:r>
    </w:p>
    <w:p w:rsidR="006B729A" w:rsidRDefault="009F366D">
      <w:pPr>
        <w:widowControl w:val="0"/>
        <w:snapToGrid w:val="0"/>
        <w:ind w:firstLine="709"/>
        <w:jc w:val="both"/>
        <w:rPr>
          <w:b/>
          <w:bCs/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Подходы к регулированию цифровых финансовых активов в различных странах (Швейцария, Лихтенштейн, Мальта, ОАЭ, Сингапур, Южная Корея, Япония). Регулирование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>Европейском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>союзе</w:t>
      </w:r>
      <w:r>
        <w:rPr>
          <w:color w:val="000000" w:themeColor="text1"/>
          <w:sz w:val="28"/>
          <w:szCs w:val="28"/>
          <w:lang w:val="en-US"/>
        </w:rPr>
        <w:t xml:space="preserve"> (</w:t>
      </w:r>
      <w:r>
        <w:rPr>
          <w:color w:val="4D5156"/>
          <w:sz w:val="28"/>
          <w:szCs w:val="28"/>
          <w:shd w:val="clear" w:color="auto" w:fill="FFFFFF"/>
          <w:lang w:val="en-US"/>
        </w:rPr>
        <w:t>The Markets in </w:t>
      </w:r>
      <w:r>
        <w:rPr>
          <w:b/>
          <w:bCs/>
          <w:color w:val="5F6368"/>
          <w:sz w:val="28"/>
          <w:szCs w:val="28"/>
          <w:shd w:val="clear" w:color="auto" w:fill="FFFFFF"/>
          <w:lang w:val="en-US"/>
        </w:rPr>
        <w:t>Crypto</w:t>
      </w:r>
      <w:r>
        <w:rPr>
          <w:color w:val="4D5156"/>
          <w:sz w:val="28"/>
          <w:szCs w:val="28"/>
          <w:shd w:val="clear" w:color="auto" w:fill="FFFFFF"/>
          <w:lang w:val="en-US"/>
        </w:rPr>
        <w:t xml:space="preserve"> Assets Regulation </w:t>
      </w:r>
      <w:r>
        <w:rPr>
          <w:b/>
          <w:bCs/>
          <w:color w:val="5F6368"/>
          <w:sz w:val="28"/>
          <w:szCs w:val="28"/>
          <w:shd w:val="clear" w:color="auto" w:fill="FFFFFF"/>
          <w:lang w:val="en-US"/>
        </w:rPr>
        <w:t>MiCA</w:t>
      </w:r>
      <w:r>
        <w:rPr>
          <w:color w:val="4D5156"/>
          <w:sz w:val="28"/>
          <w:szCs w:val="28"/>
          <w:shd w:val="clear" w:color="auto" w:fill="FFFFFF"/>
          <w:lang w:val="en-US"/>
        </w:rPr>
        <w:t>).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Крипто-регулирование в США: федеральный уровень, законодательство штатов. Специфика комплексного (кросс-секторального) крипто-комплаенса на финансовом рынке США. Кейсы принудительных мер со стороны регуляторов.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Регулирование криптовалютных бирж.  Регулирование цифровых валют центральных банков.</w:t>
      </w:r>
      <w:r>
        <w:rPr>
          <w:sz w:val="28"/>
          <w:szCs w:val="28"/>
        </w:rPr>
        <w:t xml:space="preserve"> 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крипто адаптации в различных регионах мира (карта). Анализ объема мирового крипто рынка (Coinmarketcap).</w:t>
      </w:r>
    </w:p>
    <w:p w:rsidR="006B729A" w:rsidRDefault="009F366D">
      <w:pPr>
        <w:widowControl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ЦФА в России 259-ФЗ. Правовой статус операторов выпуска и обмена ЦФА, требования к ним. Правовой статус инвестиционных и финансовых платформ, требования к ним.</w:t>
      </w:r>
    </w:p>
    <w:p w:rsidR="006B729A" w:rsidRDefault="006B729A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6B729A" w:rsidRDefault="009F366D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tbl>
      <w:tblPr>
        <w:tblpPr w:leftFromText="180" w:rightFromText="180" w:vertAnchor="text" w:horzAnchor="page" w:tblpX="1482" w:tblpY="173"/>
        <w:tblW w:w="5000" w:type="pct"/>
        <w:tblLayout w:type="fixed"/>
        <w:tblLook w:val="04A0" w:firstRow="1" w:lastRow="0" w:firstColumn="1" w:lastColumn="0" w:noHBand="0" w:noVBand="1"/>
      </w:tblPr>
      <w:tblGrid>
        <w:gridCol w:w="547"/>
        <w:gridCol w:w="1863"/>
        <w:gridCol w:w="849"/>
        <w:gridCol w:w="851"/>
        <w:gridCol w:w="852"/>
        <w:gridCol w:w="1561"/>
        <w:gridCol w:w="1278"/>
        <w:gridCol w:w="1696"/>
      </w:tblGrid>
      <w:tr w:rsidR="006B729A">
        <w:trPr>
          <w:trHeight w:val="1305"/>
        </w:trPr>
        <w:tc>
          <w:tcPr>
            <w:tcW w:w="546" w:type="dxa"/>
            <w:shd w:val="clear" w:color="auto" w:fill="auto"/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5391" w:type="dxa"/>
            <w:gridSpan w:val="5"/>
            <w:shd w:val="clear" w:color="auto" w:fill="auto"/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696" w:type="dxa"/>
            <w:shd w:val="clear" w:color="auto" w:fill="auto"/>
          </w:tcPr>
          <w:p w:rsidR="006B729A" w:rsidRDefault="006B729A">
            <w:pPr>
              <w:widowControl w:val="0"/>
              <w:tabs>
                <w:tab w:val="right" w:pos="851"/>
              </w:tabs>
            </w:pPr>
          </w:p>
        </w:tc>
      </w:tr>
      <w:tr w:rsidR="006B729A"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№</w:t>
            </w:r>
          </w:p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B729A" w:rsidRDefault="006B729A">
            <w:pPr>
              <w:widowControl w:val="0"/>
              <w:tabs>
                <w:tab w:val="right" w:pos="851"/>
              </w:tabs>
            </w:pPr>
          </w:p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B729A">
        <w:tc>
          <w:tcPr>
            <w:tcW w:w="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8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Всего</w:t>
            </w:r>
          </w:p>
        </w:tc>
        <w:tc>
          <w:tcPr>
            <w:tcW w:w="326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работа* –</w:t>
            </w:r>
          </w:p>
          <w:p w:rsidR="006B729A" w:rsidRDefault="009F366D">
            <w:pPr>
              <w:widowControl w:val="0"/>
              <w:tabs>
                <w:tab w:val="right" w:pos="851"/>
              </w:tabs>
              <w:ind w:left="137" w:hanging="137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</w:p>
        </w:tc>
      </w:tr>
      <w:tr w:rsidR="006B729A">
        <w:tc>
          <w:tcPr>
            <w:tcW w:w="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8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</w:t>
            </w:r>
          </w:p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B729A" w:rsidRDefault="006B729A">
            <w:pPr>
              <w:widowControl w:val="0"/>
              <w:tabs>
                <w:tab w:val="right" w:pos="851"/>
              </w:tabs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B729A" w:rsidRDefault="006B729A">
            <w:pPr>
              <w:widowControl w:val="0"/>
              <w:tabs>
                <w:tab w:val="right" w:pos="851"/>
              </w:tabs>
            </w:pP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 xml:space="preserve">История формирования систем регулирования финансовых рынков </w:t>
            </w:r>
            <w:r>
              <w:rPr>
                <w:bCs/>
              </w:rPr>
              <w:t xml:space="preserve">(со второй половины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 века)</w:t>
            </w:r>
          </w:p>
          <w:p w:rsidR="006B729A" w:rsidRDefault="006B729A">
            <w:pPr>
              <w:widowControl w:val="0"/>
              <w:snapToGrid w:val="0"/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rFonts w:eastAsia="Hiragino Kaku Gothic Std W8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 xml:space="preserve">Тестирование, устный опрос, case-study, обсуждение </w:t>
            </w: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Современные модели регулирования</w:t>
            </w:r>
          </w:p>
          <w:p w:rsidR="006B729A" w:rsidRDefault="006B729A">
            <w:pPr>
              <w:widowControl w:val="0"/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</w:pPr>
            <w:r>
              <w:t>Тестирование</w:t>
            </w: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aff7"/>
              <w:widowControl w:val="0"/>
              <w:snapToGrid w:val="0"/>
              <w:spacing w:beforeAutospacing="0" w:afterAutospacing="0"/>
            </w:pPr>
            <w:r>
              <w:t>Система регулирования финансового рынка США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</w:pPr>
            <w:r>
              <w:t xml:space="preserve">Тестирование, коллоквиум, case-study, научно-практический </w:t>
            </w:r>
            <w:r>
              <w:lastRenderedPageBreak/>
              <w:t>квиз</w:t>
            </w: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4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Система регулирования финансового рынка стран Европейского союза</w:t>
            </w:r>
          </w:p>
          <w:p w:rsidR="006B729A" w:rsidRDefault="006B729A">
            <w:pPr>
              <w:widowControl w:val="0"/>
              <w:snapToGrid w:val="0"/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>Тестирование, устный опрос, case-study, разбор практико-ориентированных задач</w:t>
            </w: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Система регулирования финансового рынка стран БРИКС и ЕАЭС</w:t>
            </w:r>
          </w:p>
          <w:p w:rsidR="006B729A" w:rsidRDefault="006B729A">
            <w:pPr>
              <w:widowControl w:val="0"/>
              <w:snapToGrid w:val="0"/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 xml:space="preserve">Тестирование, дискуссия, case-study, </w:t>
            </w: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Регулирование международных финансовых рынков</w:t>
            </w:r>
          </w:p>
          <w:p w:rsidR="006B729A" w:rsidRDefault="006B729A">
            <w:pPr>
              <w:widowControl w:val="0"/>
              <w:snapToGrid w:val="0"/>
              <w:ind w:firstLine="709"/>
            </w:pPr>
          </w:p>
          <w:p w:rsidR="006B729A" w:rsidRDefault="006B729A">
            <w:pPr>
              <w:widowControl w:val="0"/>
              <w:snapToGrid w:val="0"/>
              <w:ind w:firstLine="709"/>
            </w:pPr>
          </w:p>
          <w:p w:rsidR="006B729A" w:rsidRDefault="006B729A">
            <w:pPr>
              <w:widowControl w:val="0"/>
              <w:snapToGrid w:val="0"/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rPr>
                <w:lang w:val="en-US"/>
              </w:rPr>
              <w:t>C</w:t>
            </w:r>
            <w:r>
              <w:t>ase-study,</w:t>
            </w:r>
          </w:p>
          <w:p w:rsidR="006B729A" w:rsidRDefault="009F366D">
            <w:pPr>
              <w:widowControl w:val="0"/>
            </w:pPr>
            <w:r>
              <w:t>разбор практико-ориентированных задач, контрольная работа</w:t>
            </w:r>
          </w:p>
        </w:tc>
      </w:tr>
      <w:tr w:rsidR="006B729A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Регулирование цифровых финансовых активов </w:t>
            </w:r>
          </w:p>
          <w:p w:rsidR="006B729A" w:rsidRDefault="006B729A">
            <w:pPr>
              <w:widowControl w:val="0"/>
              <w:snapToGrid w:val="0"/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>Дискуссия по результатам выполненного задания по анализу процесса регулирования ЦФА.</w:t>
            </w:r>
          </w:p>
        </w:tc>
      </w:tr>
    </w:tbl>
    <w:p w:rsidR="006B729A" w:rsidRDefault="006B729A">
      <w:pPr>
        <w:widowControl w:val="0"/>
        <w:spacing w:line="276" w:lineRule="auto"/>
        <w:jc w:val="both"/>
        <w:rPr>
          <w:b/>
          <w:sz w:val="22"/>
          <w:szCs w:val="22"/>
        </w:rPr>
      </w:pPr>
    </w:p>
    <w:tbl>
      <w:tblPr>
        <w:tblW w:w="949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1866"/>
        <w:gridCol w:w="853"/>
        <w:gridCol w:w="852"/>
        <w:gridCol w:w="855"/>
        <w:gridCol w:w="1532"/>
        <w:gridCol w:w="1306"/>
        <w:gridCol w:w="1723"/>
      </w:tblGrid>
      <w:tr w:rsidR="006B729A"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6B729A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pStyle w:val="14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84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29A" w:rsidRDefault="009F366D">
            <w:pPr>
              <w:widowControl w:val="0"/>
            </w:pPr>
            <w:r>
              <w:t>Согласно учебному плану: контрольная работа</w:t>
            </w:r>
          </w:p>
        </w:tc>
      </w:tr>
      <w:tr w:rsidR="006B729A"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6B729A">
            <w:pPr>
              <w:pStyle w:val="afff4"/>
            </w:pPr>
          </w:p>
        </w:tc>
        <w:tc>
          <w:tcPr>
            <w:tcW w:w="1865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pStyle w:val="14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Итого в %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22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532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 w:rsidR="006B729A" w:rsidRDefault="009F366D">
            <w:pPr>
              <w:widowControl w:val="0"/>
              <w:tabs>
                <w:tab w:val="right" w:pos="851"/>
              </w:tabs>
              <w:jc w:val="center"/>
            </w:pPr>
            <w:r>
              <w:t>78</w:t>
            </w:r>
          </w:p>
        </w:tc>
        <w:tc>
          <w:tcPr>
            <w:tcW w:w="17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29A" w:rsidRDefault="006B729A">
            <w:pPr>
              <w:widowControl w:val="0"/>
              <w:jc w:val="both"/>
            </w:pPr>
          </w:p>
        </w:tc>
      </w:tr>
    </w:tbl>
    <w:p w:rsidR="006B729A" w:rsidRDefault="006B729A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6B729A" w:rsidRDefault="006B729A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 Содержание семинаров, практических занятий</w:t>
      </w:r>
    </w:p>
    <w:p w:rsidR="006B729A" w:rsidRDefault="006B729A">
      <w:pPr>
        <w:widowControl w:val="0"/>
        <w:spacing w:line="276" w:lineRule="auto"/>
        <w:jc w:val="both"/>
        <w:rPr>
          <w:b/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53"/>
        <w:gridCol w:w="4828"/>
        <w:gridCol w:w="2506"/>
      </w:tblGrid>
      <w:tr w:rsidR="006B729A">
        <w:trPr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Формы </w:t>
            </w:r>
          </w:p>
          <w:p w:rsidR="006B729A" w:rsidRDefault="009F366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проведения занятий</w:t>
            </w:r>
          </w:p>
        </w:tc>
      </w:tr>
      <w:tr w:rsidR="006B729A">
        <w:trPr>
          <w:trHeight w:val="2117"/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lastRenderedPageBreak/>
              <w:t xml:space="preserve">1. История формирования систем регулирования финансовых рынков </w:t>
            </w:r>
            <w:r>
              <w:rPr>
                <w:bCs/>
              </w:rPr>
              <w:t xml:space="preserve">(со второй половины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 века)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 xml:space="preserve">1.Эволюция валютных систем и их регулирования (конец </w:t>
            </w:r>
            <w:r>
              <w:rPr>
                <w:lang w:val="en-US"/>
              </w:rPr>
              <w:t>XIX</w:t>
            </w:r>
            <w:r>
              <w:t xml:space="preserve"> – середина </w:t>
            </w:r>
            <w:r>
              <w:rPr>
                <w:lang w:val="en-US"/>
              </w:rPr>
              <w:t>XX</w:t>
            </w:r>
            <w:r>
              <w:t xml:space="preserve"> века)</w:t>
            </w:r>
          </w:p>
          <w:p w:rsidR="006B729A" w:rsidRDefault="006B729A">
            <w:pPr>
              <w:widowControl w:val="0"/>
              <w:snapToGrid w:val="0"/>
              <w:rPr>
                <w:bCs/>
              </w:rPr>
            </w:pPr>
          </w:p>
          <w:p w:rsidR="006B729A" w:rsidRDefault="009F366D">
            <w:pPr>
              <w:widowControl w:val="0"/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Основная литература:2</w:t>
            </w:r>
          </w:p>
          <w:p w:rsidR="006B729A" w:rsidRDefault="009F366D">
            <w:pPr>
              <w:widowControl w:val="0"/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Дополнительная литература: 3</w:t>
            </w:r>
          </w:p>
          <w:p w:rsidR="006B729A" w:rsidRDefault="009F366D">
            <w:pPr>
              <w:widowControl w:val="0"/>
              <w:snapToGrid w:val="0"/>
              <w:rPr>
                <w:bCs/>
              </w:rPr>
            </w:pPr>
            <w:r>
              <w:rPr>
                <w:bCs/>
                <w:i/>
              </w:rPr>
              <w:t>Ресурсы сети Интернет: 10,11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>Тестирование</w:t>
            </w:r>
          </w:p>
          <w:p w:rsidR="006B729A" w:rsidRDefault="009F366D">
            <w:pPr>
              <w:widowControl w:val="0"/>
            </w:pPr>
            <w:r>
              <w:t>Обсуждение рекомендованной литературы</w:t>
            </w:r>
          </w:p>
        </w:tc>
      </w:tr>
      <w:tr w:rsidR="006B729A">
        <w:trPr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2. Современные модели регулирования</w:t>
            </w:r>
          </w:p>
          <w:p w:rsidR="006B729A" w:rsidRDefault="006B729A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  <w:p w:rsidR="006B729A" w:rsidRDefault="009F366D">
            <w:pPr>
              <w:widowControl w:val="0"/>
              <w:snapToGrid w:val="0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Основная литература:1</w:t>
            </w:r>
          </w:p>
          <w:p w:rsidR="006B729A" w:rsidRDefault="009F366D">
            <w:pPr>
              <w:widowControl w:val="0"/>
              <w:snapToGrid w:val="0"/>
              <w:rPr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Дополнительная литература:</w:t>
            </w:r>
            <w:r>
              <w:rPr>
                <w:i/>
                <w:color w:val="000000"/>
              </w:rPr>
              <w:t xml:space="preserve"> 2,3,4</w:t>
            </w:r>
          </w:p>
          <w:p w:rsidR="006B729A" w:rsidRDefault="009F366D">
            <w:pPr>
              <w:widowControl w:val="0"/>
              <w:snapToGrid w:val="0"/>
              <w:rPr>
                <w:color w:val="000000"/>
              </w:rPr>
            </w:pPr>
            <w:r>
              <w:rPr>
                <w:bCs/>
                <w:i/>
                <w:color w:val="000000"/>
              </w:rPr>
              <w:t>Ресурсы сети Интернет: 13, 14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</w:tc>
      </w:tr>
      <w:tr w:rsidR="006B729A">
        <w:trPr>
          <w:cantSplit/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>3.Система регулирования финансового рынка США</w:t>
            </w:r>
          </w:p>
          <w:p w:rsidR="006B729A" w:rsidRDefault="006B729A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1.Система органов регулирования банков в США.</w:t>
            </w:r>
          </w:p>
          <w:p w:rsidR="006B729A" w:rsidRDefault="009F366D">
            <w:pPr>
              <w:widowControl w:val="0"/>
              <w:snapToGrid w:val="0"/>
            </w:pPr>
            <w:r>
              <w:t>2.Регулировие первичного рынка ценных бумаг</w:t>
            </w:r>
          </w:p>
          <w:p w:rsidR="006B729A" w:rsidRDefault="009F366D">
            <w:pPr>
              <w:widowControl w:val="0"/>
              <w:snapToGrid w:val="0"/>
            </w:pPr>
            <w:r>
              <w:t>3.Регулирование вторичного рынка ценных бумаг</w:t>
            </w:r>
          </w:p>
          <w:p w:rsidR="006B729A" w:rsidRDefault="009F366D">
            <w:pPr>
              <w:widowControl w:val="0"/>
              <w:snapToGrid w:val="0"/>
            </w:pPr>
            <w:r>
              <w:t>4.Запрещенные сделки на рынке США</w:t>
            </w:r>
          </w:p>
          <w:p w:rsidR="006B729A" w:rsidRDefault="009F366D">
            <w:pPr>
              <w:widowControl w:val="0"/>
              <w:snapToGrid w:val="0"/>
            </w:pPr>
            <w:r>
              <w:t>5.Саморегулирование на фондовом рынке США</w:t>
            </w:r>
          </w:p>
          <w:p w:rsidR="006B729A" w:rsidRDefault="006B729A">
            <w:pPr>
              <w:widowControl w:val="0"/>
              <w:snapToGrid w:val="0"/>
              <w:rPr>
                <w:bCs/>
                <w:i/>
              </w:rPr>
            </w:pPr>
          </w:p>
          <w:p w:rsidR="006B729A" w:rsidRDefault="009F366D">
            <w:pPr>
              <w:widowControl w:val="0"/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Основная литература: 1</w:t>
            </w:r>
          </w:p>
          <w:p w:rsidR="006B729A" w:rsidRDefault="009F366D">
            <w:pPr>
              <w:widowControl w:val="0"/>
              <w:snapToGrid w:val="0"/>
              <w:rPr>
                <w:i/>
              </w:rPr>
            </w:pPr>
            <w:r>
              <w:rPr>
                <w:bCs/>
                <w:i/>
              </w:rPr>
              <w:t>Дополнительная литература</w:t>
            </w:r>
            <w:r>
              <w:rPr>
                <w:i/>
              </w:rPr>
              <w:t>: 3,6</w:t>
            </w:r>
          </w:p>
          <w:p w:rsidR="006B729A" w:rsidRDefault="009F366D">
            <w:pPr>
              <w:widowControl w:val="0"/>
              <w:snapToGrid w:val="0"/>
            </w:pPr>
            <w:r>
              <w:rPr>
                <w:bCs/>
                <w:i/>
              </w:rPr>
              <w:t>Ресурсы сети Интернет: 5,6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Дискуссия, обсуждение результатов поиска информации на сайтах американских регуляторов</w:t>
            </w:r>
          </w:p>
        </w:tc>
      </w:tr>
      <w:tr w:rsidR="006B729A">
        <w:trPr>
          <w:cantSplit/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4.Система регулирования финансового рынка стран Европейского союза</w:t>
            </w:r>
          </w:p>
          <w:p w:rsidR="006B729A" w:rsidRDefault="006B729A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both"/>
            </w:pPr>
            <w:r>
              <w:t>1.Зеленая повестка и рынок капитала ЕС</w:t>
            </w:r>
          </w:p>
          <w:p w:rsidR="006B729A" w:rsidRDefault="009F366D">
            <w:pPr>
              <w:widowControl w:val="0"/>
              <w:jc w:val="both"/>
            </w:pPr>
            <w:r>
              <w:t>2.Формирование единого финансового рынка ЕС: проблемы и противоречия</w:t>
            </w:r>
          </w:p>
          <w:p w:rsidR="006B729A" w:rsidRDefault="006B729A">
            <w:pPr>
              <w:widowControl w:val="0"/>
              <w:jc w:val="both"/>
            </w:pPr>
          </w:p>
          <w:p w:rsidR="006B729A" w:rsidRDefault="009F366D">
            <w:pPr>
              <w:widowControl w:val="0"/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Основная литература: 1,2</w:t>
            </w:r>
          </w:p>
          <w:p w:rsidR="006B729A" w:rsidRDefault="009F366D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Дополнительная литература:2,4</w:t>
            </w:r>
          </w:p>
          <w:p w:rsidR="006B729A" w:rsidRDefault="009F366D">
            <w:pPr>
              <w:widowControl w:val="0"/>
              <w:jc w:val="both"/>
            </w:pPr>
            <w:r>
              <w:rPr>
                <w:bCs/>
                <w:i/>
              </w:rPr>
              <w:t>Ресурсы сети Интернет: 8,9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 xml:space="preserve">Тестирование, устный опрос, обсуждение проблем выпуска «зеленых» облигаций в ЕС. </w:t>
            </w:r>
          </w:p>
        </w:tc>
      </w:tr>
      <w:tr w:rsidR="006B729A">
        <w:trPr>
          <w:cantSplit/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5.Система регулирования финансового рынка стран БРИКС и ЕАЭС</w:t>
            </w:r>
          </w:p>
          <w:p w:rsidR="006B729A" w:rsidRDefault="006B729A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both"/>
            </w:pPr>
            <w:r>
              <w:t>1.Особенности регулирования финансового рынка Казахстана</w:t>
            </w:r>
          </w:p>
          <w:p w:rsidR="006B729A" w:rsidRDefault="009F366D">
            <w:pPr>
              <w:widowControl w:val="0"/>
              <w:jc w:val="both"/>
            </w:pPr>
            <w:r>
              <w:t>2.Особенности регулирования финансового рынка КНР</w:t>
            </w:r>
          </w:p>
          <w:p w:rsidR="006B729A" w:rsidRDefault="006B729A">
            <w:pPr>
              <w:widowControl w:val="0"/>
              <w:snapToGrid w:val="0"/>
              <w:rPr>
                <w:bCs/>
                <w:i/>
              </w:rPr>
            </w:pPr>
          </w:p>
          <w:p w:rsidR="006B729A" w:rsidRDefault="009F366D">
            <w:pPr>
              <w:widowControl w:val="0"/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Основная литература: 1</w:t>
            </w:r>
          </w:p>
          <w:p w:rsidR="006B729A" w:rsidRDefault="009F366D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Дополнительная литература:3, </w:t>
            </w:r>
          </w:p>
          <w:p w:rsidR="006B729A" w:rsidRDefault="009F366D">
            <w:pPr>
              <w:widowControl w:val="0"/>
              <w:jc w:val="both"/>
            </w:pPr>
            <w:r>
              <w:rPr>
                <w:bCs/>
                <w:i/>
              </w:rPr>
              <w:t>Ресурсы сети Интернет: 1, 15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rPr>
                <w:sz w:val="22"/>
                <w:szCs w:val="22"/>
              </w:rPr>
            </w:pPr>
            <w:r>
              <w:t>Тестирование, дискуссия, case-study по теме «Проблемы финансовой интеграции в ЕАЭС»</w:t>
            </w:r>
          </w:p>
        </w:tc>
      </w:tr>
      <w:tr w:rsidR="006B729A">
        <w:trPr>
          <w:cantSplit/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6.Регулирование международных финансовых рынков</w:t>
            </w:r>
          </w:p>
          <w:p w:rsidR="006B729A" w:rsidRDefault="006B729A">
            <w:pPr>
              <w:widowControl w:val="0"/>
              <w:snapToGrid w:val="0"/>
              <w:ind w:firstLine="709"/>
            </w:pPr>
          </w:p>
          <w:p w:rsidR="006B729A" w:rsidRDefault="006B729A">
            <w:pPr>
              <w:widowControl w:val="0"/>
              <w:snapToGrid w:val="0"/>
              <w:ind w:firstLine="709"/>
            </w:pPr>
          </w:p>
          <w:p w:rsidR="006B729A" w:rsidRDefault="006B729A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both"/>
            </w:pPr>
            <w:r>
              <w:t>1.Принципы работы МВФ и Всемирного банка с точки зрения регулирования международных финансовых рынков</w:t>
            </w:r>
          </w:p>
          <w:p w:rsidR="006B729A" w:rsidRDefault="009F366D">
            <w:pPr>
              <w:widowControl w:val="0"/>
              <w:jc w:val="both"/>
            </w:pPr>
            <w:r>
              <w:t>2. Проблема создания наднациональной системы регулирования (после мирового финансового кризиса 2007-2009 гг.)</w:t>
            </w:r>
          </w:p>
          <w:p w:rsidR="006B729A" w:rsidRDefault="006B729A">
            <w:pPr>
              <w:widowControl w:val="0"/>
              <w:snapToGrid w:val="0"/>
              <w:rPr>
                <w:bCs/>
                <w:i/>
              </w:rPr>
            </w:pPr>
          </w:p>
          <w:p w:rsidR="006B729A" w:rsidRDefault="009F366D">
            <w:pPr>
              <w:widowControl w:val="0"/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Основная литература:2</w:t>
            </w:r>
          </w:p>
          <w:p w:rsidR="006B729A" w:rsidRDefault="009F366D">
            <w:pPr>
              <w:widowControl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Дополнительная литература: 3,5,6</w:t>
            </w:r>
          </w:p>
          <w:p w:rsidR="006B729A" w:rsidRDefault="009F366D">
            <w:pPr>
              <w:widowControl w:val="0"/>
              <w:jc w:val="both"/>
            </w:pPr>
            <w:r>
              <w:rPr>
                <w:bCs/>
                <w:i/>
              </w:rPr>
              <w:t>Ресурсы сети Интернет: 10, 7, 8, 9, 13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both"/>
            </w:pPr>
            <w:r>
              <w:t>Контрольная работа</w:t>
            </w:r>
          </w:p>
          <w:p w:rsidR="006B729A" w:rsidRDefault="009F366D">
            <w:pPr>
              <w:widowControl w:val="0"/>
            </w:pPr>
            <w:r>
              <w:t>Кейс-стадии «выпуск еврооблигационного займа»</w:t>
            </w:r>
          </w:p>
          <w:p w:rsidR="006B729A" w:rsidRDefault="006B729A">
            <w:pPr>
              <w:widowControl w:val="0"/>
              <w:jc w:val="both"/>
            </w:pPr>
          </w:p>
        </w:tc>
      </w:tr>
      <w:tr w:rsidR="006B729A">
        <w:trPr>
          <w:cantSplit/>
          <w:jc w:val="center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7.Регулирование цифровых финансовых активов </w:t>
            </w:r>
          </w:p>
          <w:p w:rsidR="006B729A" w:rsidRDefault="006B729A">
            <w:pPr>
              <w:widowControl w:val="0"/>
              <w:snapToGrid w:val="0"/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both"/>
            </w:pPr>
            <w:r>
              <w:t xml:space="preserve">Обзор мирового регулирования рынка цифровых активов. </w:t>
            </w:r>
          </w:p>
          <w:p w:rsidR="006B729A" w:rsidRDefault="009F366D">
            <w:pPr>
              <w:widowControl w:val="0"/>
              <w:jc w:val="both"/>
            </w:pPr>
            <w:r>
              <w:t>Регулирование крипторынка в разных странах</w:t>
            </w:r>
          </w:p>
          <w:p w:rsidR="006B729A" w:rsidRDefault="009F366D">
            <w:pPr>
              <w:widowControl w:val="0"/>
              <w:jc w:val="both"/>
            </w:pPr>
            <w:r>
              <w:t>Кейсы принудительных мер со стороны регуляторов.</w:t>
            </w:r>
          </w:p>
          <w:p w:rsidR="006B729A" w:rsidRDefault="009F366D">
            <w:pPr>
              <w:widowControl w:val="0"/>
              <w:jc w:val="both"/>
            </w:pPr>
            <w:r>
              <w:t>Регламент по обороту криптоактивов в ЕС (MICAR)</w:t>
            </w:r>
          </w:p>
          <w:p w:rsidR="006B729A" w:rsidRDefault="009F366D">
            <w:pPr>
              <w:widowControl w:val="0"/>
              <w:jc w:val="both"/>
            </w:pPr>
            <w:r>
              <w:t>Индекс крипто адаптации в различных регионах мира (карта). Анализ объема мирового крипто рынка (Coinmarketcap).</w:t>
            </w:r>
          </w:p>
          <w:p w:rsidR="006B729A" w:rsidRDefault="009F366D">
            <w:pPr>
              <w:widowControl w:val="0"/>
              <w:jc w:val="both"/>
            </w:pPr>
            <w:r>
              <w:t>ТОП интересных крипто проектов.</w:t>
            </w:r>
          </w:p>
          <w:p w:rsidR="006B729A" w:rsidRDefault="009F366D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Сравнение регулирование ЦФА в России и мире.</w:t>
            </w:r>
          </w:p>
          <w:p w:rsidR="006B729A" w:rsidRDefault="009F366D">
            <w:pPr>
              <w:widowControl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259-ФЗ и виды допустимых активов в рамках закона. </w:t>
            </w:r>
          </w:p>
          <w:p w:rsidR="006B729A" w:rsidRDefault="009F366D">
            <w:pPr>
              <w:widowControl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Разбираем ЦФА на денежные требования, товары, предметы искусства, эмиссия ЦФА, доходную оборотку, недвижимость и др.</w:t>
            </w:r>
          </w:p>
          <w:p w:rsidR="006B729A" w:rsidRDefault="009F366D">
            <w:pPr>
              <w:widowControl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Понятие, механизм, риски и правовой режим выпуска и оборота цифровых финансовых активов, утилитарных цифровых прав, цифровых валют. </w:t>
            </w:r>
          </w:p>
          <w:p w:rsidR="006B729A" w:rsidRDefault="009F366D">
            <w:pPr>
              <w:widowControl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Гибридизация цифровых прав: понятие, проекты. </w:t>
            </w:r>
          </w:p>
          <w:p w:rsidR="006B729A" w:rsidRDefault="009F366D">
            <w:pPr>
              <w:widowControl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Проблематика цифровых денег центральных банков, правовые основы их выпуска и обращения. </w:t>
            </w:r>
          </w:p>
          <w:p w:rsidR="006B729A" w:rsidRDefault="009F366D">
            <w:pPr>
              <w:widowControl w:val="0"/>
              <w:jc w:val="both"/>
            </w:pPr>
            <w:r>
              <w:rPr>
                <w:rFonts w:eastAsia="SimSun"/>
              </w:rPr>
              <w:t>Современное состояние, проблематика, дискуссионное поле, правоприменительная практика.</w:t>
            </w:r>
          </w:p>
          <w:p w:rsidR="006B729A" w:rsidRDefault="006B729A">
            <w:pPr>
              <w:widowControl w:val="0"/>
              <w:jc w:val="both"/>
              <w:rPr>
                <w:iCs/>
              </w:rPr>
            </w:pPr>
          </w:p>
          <w:p w:rsidR="006B729A" w:rsidRDefault="009F366D">
            <w:pPr>
              <w:pStyle w:val="afc"/>
              <w:widowControl w:val="0"/>
              <w:jc w:val="left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</w:rPr>
              <w:t xml:space="preserve">Основная литература:  </w:t>
            </w:r>
            <w:r>
              <w:rPr>
                <w:b w:val="0"/>
                <w:i/>
                <w:sz w:val="24"/>
                <w:szCs w:val="24"/>
                <w:lang w:val="ru-RU"/>
              </w:rPr>
              <w:t>3,4</w:t>
            </w:r>
          </w:p>
          <w:p w:rsidR="006B729A" w:rsidRDefault="009F366D">
            <w:pPr>
              <w:pStyle w:val="afc"/>
              <w:widowControl w:val="0"/>
              <w:jc w:val="left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Дополнительная литература:</w:t>
            </w:r>
            <w:r>
              <w:rPr>
                <w:b w:val="0"/>
                <w:i/>
                <w:sz w:val="24"/>
                <w:szCs w:val="24"/>
                <w:lang w:val="ru-RU"/>
              </w:rPr>
              <w:t xml:space="preserve"> 7</w:t>
            </w:r>
          </w:p>
          <w:p w:rsidR="006B729A" w:rsidRDefault="009F366D">
            <w:pPr>
              <w:keepNext/>
              <w:widowControl w:val="0"/>
              <w:jc w:val="both"/>
            </w:pPr>
            <w:r>
              <w:rPr>
                <w:bCs/>
                <w:i/>
              </w:rPr>
              <w:t>Ресурсы сети Интернет:</w:t>
            </w:r>
            <w:r>
              <w:rPr>
                <w:i/>
              </w:rPr>
              <w:t xml:space="preserve"> 5</w:t>
            </w:r>
            <w:r>
              <w:rPr>
                <w:bCs/>
                <w:i/>
              </w:rPr>
              <w:t>-9.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>Контрольное тестирование, дискуссия по вопросам места ЦФА в системе финансовых рынков и их регулирования</w:t>
            </w:r>
          </w:p>
        </w:tc>
      </w:tr>
    </w:tbl>
    <w:p w:rsidR="006B729A" w:rsidRDefault="006B729A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</w:p>
    <w:p w:rsidR="006B729A" w:rsidRDefault="009F366D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6B729A" w:rsidRDefault="009F366D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B729A" w:rsidRDefault="006B729A">
      <w:pPr>
        <w:widowControl w:val="0"/>
        <w:spacing w:line="276" w:lineRule="auto"/>
        <w:jc w:val="right"/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1950"/>
        <w:gridCol w:w="4391"/>
        <w:gridCol w:w="3265"/>
      </w:tblGrid>
      <w:tr w:rsidR="006B729A">
        <w:trPr>
          <w:tblHeader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 xml:space="preserve">1. История формирования систем регулирования финансовых рынков </w:t>
            </w:r>
            <w:r>
              <w:rPr>
                <w:bCs/>
              </w:rPr>
              <w:t xml:space="preserve">(со </w:t>
            </w:r>
            <w:r>
              <w:rPr>
                <w:bCs/>
              </w:rPr>
              <w:lastRenderedPageBreak/>
              <w:t xml:space="preserve">второй половины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 века)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lastRenderedPageBreak/>
              <w:t xml:space="preserve">Новый курс Ф.Д. Рузвельта и формирование современной системы регулирования финансового рынка. Основные законы в области фондового рынка и банков, принятые в это время и их влияние на нормативную базу других </w:t>
            </w:r>
            <w:r>
              <w:lastRenderedPageBreak/>
              <w:t>стран.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315"/>
                <w:tab w:val="left" w:pos="3011"/>
              </w:tabs>
              <w:ind w:left="33" w:right="154"/>
            </w:pPr>
            <w:r>
              <w:lastRenderedPageBreak/>
              <w:t>Изучение учебной, методической,</w:t>
            </w:r>
          </w:p>
          <w:p w:rsidR="006B729A" w:rsidRDefault="009F366D">
            <w:pPr>
              <w:widowControl w:val="0"/>
              <w:tabs>
                <w:tab w:val="left" w:pos="315"/>
                <w:tab w:val="left" w:pos="3011"/>
              </w:tabs>
              <w:ind w:left="33" w:right="154"/>
            </w:pPr>
            <w:r>
              <w:t>научной литературы и интернет-ресурсов по теме.</w:t>
            </w:r>
          </w:p>
          <w:p w:rsidR="006B729A" w:rsidRDefault="006B729A">
            <w:pPr>
              <w:widowControl w:val="0"/>
              <w:tabs>
                <w:tab w:val="left" w:pos="315"/>
                <w:tab w:val="left" w:pos="2869"/>
              </w:tabs>
              <w:ind w:left="34" w:right="154" w:hanging="1"/>
            </w:pP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2.Современные модели регулирования</w:t>
            </w:r>
          </w:p>
          <w:p w:rsidR="006B729A" w:rsidRDefault="006B729A">
            <w:pPr>
              <w:widowControl w:val="0"/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Классификация моделей регулирования.</w:t>
            </w:r>
          </w:p>
          <w:p w:rsidR="006B729A" w:rsidRDefault="009F366D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bCs/>
                <w:color w:val="000000" w:themeColor="text1"/>
              </w:rPr>
              <w:t xml:space="preserve">Отраслевая модель регулирования финансового рынка. Модель единого регулятора: преимущества и недостатки. Модель </w:t>
            </w:r>
            <w:r>
              <w:rPr>
                <w:bCs/>
                <w:color w:val="000000" w:themeColor="text1"/>
                <w:lang w:val="en-US"/>
              </w:rPr>
              <w:t>twin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peaks</w:t>
            </w:r>
            <w:r>
              <w:rPr>
                <w:bCs/>
                <w:color w:val="000000" w:themeColor="text1"/>
              </w:rPr>
              <w:t>. Формирование модели регулирования в Российской Федерации: от отраслевой к мегарегулятору.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Работа с учебной литературой, методическими материалами и интернет-ресурсами по теме.</w:t>
            </w:r>
          </w:p>
          <w:p w:rsidR="006B729A" w:rsidRDefault="006B729A">
            <w:pPr>
              <w:widowControl w:val="0"/>
              <w:contextualSpacing/>
            </w:pP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</w:pPr>
            <w:r>
              <w:t>3.Система регулирования финансового рынка США</w:t>
            </w:r>
          </w:p>
          <w:p w:rsidR="006B729A" w:rsidRDefault="006B729A">
            <w:pPr>
              <w:widowControl w:val="0"/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Содержание основных законом США по финансовому рынку.</w:t>
            </w:r>
          </w:p>
          <w:p w:rsidR="006B729A" w:rsidRDefault="009F366D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Функции основной СРО США на фондовом рынке - </w:t>
            </w:r>
            <w:r>
              <w:rPr>
                <w:rFonts w:eastAsia="Calibri"/>
                <w:lang w:val="en-US" w:eastAsia="en-US"/>
              </w:rPr>
              <w:t>FINRA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Работа с учебной литературой, методическими материалами, конспектом лекций и интернет-ресурсами по теме;</w:t>
            </w:r>
          </w:p>
          <w:p w:rsidR="006B729A" w:rsidRDefault="009F366D">
            <w:pPr>
              <w:widowControl w:val="0"/>
              <w:contextualSpacing/>
            </w:pPr>
            <w:r>
              <w:rPr>
                <w:rFonts w:eastAsia="Calibri"/>
                <w:lang w:eastAsia="en-US"/>
              </w:rPr>
              <w:t>Изучение нормативных актов США по теме.</w:t>
            </w: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4.Система регулирования финансового рынка стран Европейского союза</w:t>
            </w:r>
          </w:p>
          <w:p w:rsidR="006B729A" w:rsidRDefault="006B729A">
            <w:pPr>
              <w:widowControl w:val="0"/>
              <w:rPr>
                <w:color w:val="000000"/>
              </w:rPr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Директива о рынках финансовых инструментов (</w:t>
            </w:r>
            <w:r>
              <w:rPr>
                <w:rFonts w:eastAsia="Calibri"/>
                <w:lang w:val="en-US" w:eastAsia="en-US"/>
              </w:rPr>
              <w:t>MIFID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II</w:t>
            </w:r>
            <w:r>
              <w:rPr>
                <w:rFonts w:eastAsia="Calibri"/>
                <w:lang w:eastAsia="en-US"/>
              </w:rPr>
              <w:t>)</w:t>
            </w:r>
          </w:p>
          <w:p w:rsidR="006B729A" w:rsidRDefault="009F366D">
            <w:pPr>
              <w:widowControl w:val="0"/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Директива об открытых инвестиционных фондах (</w:t>
            </w:r>
            <w:r>
              <w:rPr>
                <w:rFonts w:eastAsia="Calibri"/>
                <w:lang w:val="en-US" w:eastAsia="en-US"/>
              </w:rPr>
              <w:t>UCITS</w:t>
            </w:r>
            <w:r>
              <w:rPr>
                <w:rFonts w:eastAsia="Calibri"/>
                <w:lang w:eastAsia="en-US"/>
              </w:rPr>
              <w:t>)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Работа с учебной литературой, методическими материалами, конспектом лекций и интернет-ресурсами по теме;</w:t>
            </w:r>
          </w:p>
          <w:p w:rsidR="006B729A" w:rsidRDefault="009F366D">
            <w:pPr>
              <w:widowControl w:val="0"/>
              <w:contextualSpacing/>
            </w:pPr>
            <w:r>
              <w:rPr>
                <w:rFonts w:eastAsia="Calibri"/>
                <w:lang w:eastAsia="en-US"/>
              </w:rPr>
              <w:t>Изучение нормативных актов ЕС по финансовым рынкам.</w:t>
            </w: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</w:pPr>
            <w:r>
              <w:t>5.Система регулирования финансового рынка стран БРИКС и ЕАЭС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</w:pPr>
            <w:r>
              <w:t>Статистические показатели финансовых рынков стран ЕАЭС</w:t>
            </w:r>
          </w:p>
          <w:p w:rsidR="006B729A" w:rsidRDefault="009F366D">
            <w:pPr>
              <w:widowControl w:val="0"/>
              <w:contextualSpacing/>
              <w:jc w:val="both"/>
            </w:pPr>
            <w:r>
              <w:t>Регулирование финансового рынка Индии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</w:pPr>
            <w:r>
              <w:t>Работа с учебной литературой, методическими материалами, конспектом лекций и интернет-ресурсами Индии и базов ЕЭК.</w:t>
            </w: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jc w:val="both"/>
            </w:pPr>
            <w:r>
              <w:t>6.Регулирование международных финансовых рынков</w:t>
            </w:r>
          </w:p>
          <w:p w:rsidR="006B729A" w:rsidRDefault="006B729A">
            <w:pPr>
              <w:widowControl w:val="0"/>
              <w:snapToGrid w:val="0"/>
              <w:ind w:firstLine="709"/>
              <w:jc w:val="both"/>
            </w:pPr>
          </w:p>
          <w:p w:rsidR="006B729A" w:rsidRDefault="006B729A">
            <w:pPr>
              <w:widowControl w:val="0"/>
              <w:snapToGrid w:val="0"/>
              <w:ind w:firstLine="709"/>
              <w:jc w:val="both"/>
            </w:pPr>
          </w:p>
          <w:p w:rsidR="006B729A" w:rsidRDefault="006B729A">
            <w:pPr>
              <w:widowControl w:val="0"/>
              <w:rPr>
                <w:color w:val="000000"/>
              </w:rPr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jc w:val="both"/>
            </w:pPr>
            <w:r>
              <w:t>История развития и регулирования рынка еврооблигаций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</w:pPr>
            <w:r>
              <w:t>Работа с учебной литературой, методическими материалами, конспектом лекций и интернет-ресурсами по теме; подбор материала для разработки кейса по выводу компании на рынок еврооблигаций.</w:t>
            </w:r>
          </w:p>
        </w:tc>
      </w:tr>
      <w:tr w:rsidR="006B729A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7.Регулирование цифровых финансовых активов </w:t>
            </w:r>
          </w:p>
          <w:p w:rsidR="006B729A" w:rsidRDefault="006B729A">
            <w:pPr>
              <w:widowControl w:val="0"/>
              <w:rPr>
                <w:color w:val="000000"/>
              </w:rPr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Default"/>
              <w:widowControl w:val="0"/>
              <w:jc w:val="both"/>
            </w:pPr>
            <w:r>
              <w:t xml:space="preserve">Сравнение компетенции </w:t>
            </w:r>
            <w:r>
              <w:rPr>
                <w:lang w:val="en-US"/>
              </w:rPr>
              <w:t>IOSCO</w:t>
            </w:r>
            <w:r>
              <w:t xml:space="preserve"> и </w:t>
            </w:r>
            <w:r>
              <w:rPr>
                <w:lang w:val="en-US"/>
              </w:rPr>
              <w:t>ISDA</w:t>
            </w:r>
            <w:r>
              <w:t xml:space="preserve"> на рынке ценных бумаг и на крипторынке.</w:t>
            </w:r>
          </w:p>
          <w:p w:rsidR="006B729A" w:rsidRDefault="009F366D">
            <w:pPr>
              <w:widowControl w:val="0"/>
              <w:contextualSpacing/>
              <w:jc w:val="both"/>
            </w:pPr>
            <w:r>
              <w:t xml:space="preserve">Анализ </w:t>
            </w:r>
            <w:r>
              <w:rPr>
                <w:lang w:val="en-US"/>
              </w:rPr>
              <w:t>Travel</w:t>
            </w:r>
            <w:r>
              <w:t xml:space="preserve"> </w:t>
            </w:r>
            <w:r>
              <w:rPr>
                <w:lang w:val="en-US"/>
              </w:rPr>
              <w:t>Rule</w:t>
            </w:r>
            <w:r>
              <w:t>: эффективность имплементации в различных юрисдикциях</w:t>
            </w:r>
          </w:p>
          <w:p w:rsidR="006B729A" w:rsidRDefault="009F366D">
            <w:pPr>
              <w:pStyle w:val="Default"/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Сравнение </w:t>
            </w:r>
            <w:r>
              <w:rPr>
                <w:sz w:val="23"/>
                <w:szCs w:val="23"/>
                <w:lang w:val="en-US"/>
              </w:rPr>
              <w:t>CBDC</w:t>
            </w:r>
            <w:r>
              <w:rPr>
                <w:sz w:val="23"/>
                <w:szCs w:val="23"/>
              </w:rPr>
              <w:t xml:space="preserve"> и фиатно-обеспеченных стейблкоинов: перспективы в России</w:t>
            </w:r>
          </w:p>
          <w:p w:rsidR="006B729A" w:rsidRDefault="009F366D">
            <w:pPr>
              <w:pStyle w:val="Default"/>
              <w:widowControl w:val="0"/>
              <w:jc w:val="both"/>
            </w:pPr>
            <w:r>
              <w:t>Сравнительный анализ крипторегулирования в:</w:t>
            </w:r>
          </w:p>
          <w:p w:rsidR="006B729A" w:rsidRDefault="009F366D">
            <w:pPr>
              <w:pStyle w:val="Default"/>
              <w:widowControl w:val="0"/>
              <w:jc w:val="both"/>
            </w:pPr>
            <w:r>
              <w:lastRenderedPageBreak/>
              <w:t>- США и ЕС</w:t>
            </w:r>
          </w:p>
          <w:p w:rsidR="006B729A" w:rsidRDefault="009F366D">
            <w:pPr>
              <w:pStyle w:val="Default"/>
              <w:widowControl w:val="0"/>
              <w:jc w:val="both"/>
            </w:pPr>
            <w:r>
              <w:t>- Германии и Швейцарии</w:t>
            </w:r>
          </w:p>
          <w:p w:rsidR="006B729A" w:rsidRDefault="009F366D">
            <w:pPr>
              <w:pStyle w:val="Default"/>
              <w:widowControl w:val="0"/>
              <w:jc w:val="both"/>
            </w:pPr>
            <w:r>
              <w:t>- Китае и России</w:t>
            </w:r>
          </w:p>
          <w:p w:rsidR="006B729A" w:rsidRDefault="009F366D">
            <w:pPr>
              <w:pStyle w:val="Default"/>
              <w:widowControl w:val="0"/>
              <w:jc w:val="both"/>
            </w:pPr>
            <w:r>
              <w:t>- Японии и Южной Корее</w:t>
            </w:r>
          </w:p>
          <w:p w:rsidR="006B729A" w:rsidRDefault="009F366D">
            <w:pPr>
              <w:widowControl w:val="0"/>
              <w:contextualSpacing/>
              <w:jc w:val="both"/>
            </w:pPr>
            <w:r>
              <w:t>- ОАЭ и Сингапуре</w:t>
            </w:r>
          </w:p>
          <w:p w:rsidR="006B729A" w:rsidRDefault="009F366D">
            <w:pPr>
              <w:widowControl w:val="0"/>
              <w:contextualSpacing/>
              <w:jc w:val="both"/>
            </w:pPr>
            <w:r>
              <w:t>Сравнение видов и особенностей недобросовестных практик на рынке традиционных финансов и крипторынке.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Работа с учебной литературой, методическими материалами, конспектом лекций и интернет-ресурсами по теме;</w:t>
            </w:r>
          </w:p>
          <w:p w:rsidR="006B729A" w:rsidRDefault="009F366D">
            <w:pPr>
              <w:widowControl w:val="0"/>
              <w:contextualSpacing/>
            </w:pPr>
            <w:r>
              <w:t>Изучение нормативных актов по теме.</w:t>
            </w:r>
          </w:p>
        </w:tc>
      </w:tr>
    </w:tbl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6B729A" w:rsidRDefault="009F366D">
      <w:pPr>
        <w:pStyle w:val="Default"/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6B729A" w:rsidRDefault="009F366D">
      <w:pPr>
        <w:pStyle w:val="Default"/>
        <w:ind w:left="426"/>
      </w:pPr>
      <w:r>
        <w:rPr>
          <w:b/>
          <w:sz w:val="28"/>
          <w:szCs w:val="28"/>
        </w:rPr>
        <w:t xml:space="preserve"> Вопросы для подготовки к контрольной работе 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1.Эволюция системы регулирования финансового рынка современной России (1992 – 2023).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2.Системы регулирования валютного курса (фиксированный и плавающий): </w:t>
      </w:r>
      <w:r>
        <w:rPr>
          <w:bCs/>
          <w:sz w:val="28"/>
          <w:szCs w:val="28"/>
          <w:lang w:val="en-US"/>
        </w:rPr>
        <w:t>pro</w:t>
      </w:r>
      <w:r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  <w:lang w:val="en-US"/>
        </w:rPr>
        <w:t>contra</w:t>
      </w:r>
      <w:r>
        <w:rPr>
          <w:bCs/>
          <w:sz w:val="28"/>
          <w:szCs w:val="28"/>
        </w:rPr>
        <w:t>.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3.Модели регулирования финансовых рынков (секторальная, единого регулятора/мегарегулятора), </w:t>
      </w:r>
      <w:r>
        <w:rPr>
          <w:bCs/>
          <w:sz w:val="28"/>
          <w:szCs w:val="28"/>
          <w:lang w:val="en-US"/>
        </w:rPr>
        <w:t>twin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peaks</w:t>
      </w:r>
      <w:r>
        <w:rPr>
          <w:bCs/>
          <w:sz w:val="28"/>
          <w:szCs w:val="28"/>
        </w:rPr>
        <w:t>: преимущества и недостатки.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4.Иерархическая структура международных организаций – регуляторов финансового рынка.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5.Проблемы создания и регулирования единого финансового рынка ЕАЭС.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6.Проблемы регулирования ЦФА в Российской Федерации.</w:t>
      </w:r>
    </w:p>
    <w:p w:rsidR="006B729A" w:rsidRDefault="006B729A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</w:p>
    <w:p w:rsidR="006B729A" w:rsidRDefault="006B729A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</w:pPr>
      <w:r>
        <w:rPr>
          <w:b/>
          <w:sz w:val="28"/>
          <w:szCs w:val="28"/>
        </w:rPr>
        <w:t>Примерный перечень вопросов для подготовки к опросам на семинарских занятиях, к тематическим дискуссиям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 xml:space="preserve">Эволюция системы регулирования мирового валютного рынка (с конца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до настоящего времени).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Мировой финансовый кризис 2007-2009 гг. и его влияние на архитектуру финансовых рынков и ее регулирование.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 xml:space="preserve">Классификация современных моделей регулирования финансовых рынков (эволюция, страновые примеры). 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Эволюция и современная структура регулирования финансового рынка России.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Банк России как единый регулятор финансового рынка: проблемная характеристика.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Характеристика законов США в области финансовых рынков 1930х годов и их влияние на законодательство других стран.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lastRenderedPageBreak/>
        <w:t>Саморегулирование на финансовых рынках. Примеры саморегулируемых организаций в России и за рубежом.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Функции ведущих международных экономических организаций в области регулирования финансовых рынков (МВФ, Мировой банк, Банк международных расчетов, ОЭСР, ИОСКО, Совет по финансовой стабильности).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Регулирование финансовых рынков в Европейском союзе: нормативная база, структура органов регулирования, влияние на другие страны.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Формирование общего финансового рынка стран Евразийского экономического союза (ЕАЭС). Роль Евразийской экономической комиссии (ЕЭК).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Существует ли наднациональная система регулирования финансового рынка?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 xml:space="preserve">Характеристика существующих международных стандартов в области финансовых рынков.  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Принципы корпоративного управления ОЭСР и их реализация в России.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Противодействие неправомерному использованию инсайдерской информации и/или манипулированию на рынке ценных бумаг</w:t>
      </w:r>
      <w:r>
        <w:rPr>
          <w:sz w:val="28"/>
          <w:szCs w:val="28"/>
        </w:rPr>
        <w:t>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sz w:val="28"/>
          <w:szCs w:val="28"/>
        </w:rPr>
        <w:t>Регулирование цифровых финансовых активов в основных юрисдикциях и России.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rFonts w:eastAsia="HiddenHorzOCR"/>
          <w:bCs/>
          <w:sz w:val="28"/>
          <w:szCs w:val="28"/>
        </w:rPr>
        <w:t>Анализ видов деятельности согласно 259-ФЗ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rFonts w:eastAsia="HiddenHorzOCR"/>
          <w:bCs/>
          <w:sz w:val="28"/>
          <w:szCs w:val="28"/>
        </w:rPr>
        <w:t>Цифровые права, цифровые финансовые активы, утилитарные цифровые права, цифровые валюты: анализ понятийного ряда отечественного цифрового законодательства.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</w:pPr>
      <w:r>
        <w:rPr>
          <w:color w:val="000000" w:themeColor="text1"/>
          <w:sz w:val="28"/>
          <w:szCs w:val="28"/>
        </w:rPr>
        <w:t xml:space="preserve"> Регулирование деятельности криптовалютных бирж. </w:t>
      </w:r>
    </w:p>
    <w:p w:rsidR="006B729A" w:rsidRDefault="009F366D">
      <w:pPr>
        <w:pStyle w:val="aff7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567" w:firstLine="0"/>
        <w:jc w:val="both"/>
        <w:rPr>
          <w:color w:val="000000"/>
          <w:sz w:val="28"/>
          <w:szCs w:val="28"/>
        </w:rPr>
      </w:pPr>
      <w:r>
        <w:rPr>
          <w:rFonts w:eastAsia="HiddenHorzOCR"/>
          <w:bCs/>
          <w:sz w:val="28"/>
          <w:szCs w:val="28"/>
        </w:rPr>
        <w:t>Анализ видов деятельности на крипторынке: майнинг, обмен, трейдинг, хранение и т.п.</w:t>
      </w:r>
    </w:p>
    <w:p w:rsidR="006B729A" w:rsidRDefault="006B729A">
      <w:pPr>
        <w:tabs>
          <w:tab w:val="left" w:pos="-180"/>
          <w:tab w:val="left" w:pos="1134"/>
        </w:tabs>
        <w:spacing w:line="360" w:lineRule="exact"/>
        <w:ind w:left="567" w:right="70"/>
        <w:jc w:val="both"/>
        <w:rPr>
          <w:b/>
          <w:sz w:val="28"/>
          <w:szCs w:val="28"/>
        </w:rPr>
      </w:pPr>
    </w:p>
    <w:p w:rsidR="006B729A" w:rsidRDefault="006B729A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6B729A" w:rsidRDefault="009F366D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bookmarkStart w:id="4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  <w:bookmarkStart w:id="5" w:name="_Hlk107308365"/>
      <w:bookmarkEnd w:id="4"/>
      <w:bookmarkEnd w:id="5"/>
    </w:p>
    <w:p w:rsidR="006B729A" w:rsidRDefault="006B729A">
      <w:pPr>
        <w:spacing w:line="276" w:lineRule="auto"/>
        <w:jc w:val="both"/>
        <w:rPr>
          <w:sz w:val="28"/>
          <w:szCs w:val="28"/>
        </w:rPr>
      </w:pPr>
    </w:p>
    <w:p w:rsidR="006B729A" w:rsidRDefault="009F366D">
      <w:pPr>
        <w:spacing w:line="276" w:lineRule="auto"/>
        <w:jc w:val="both"/>
        <w:outlineLvl w:val="0"/>
        <w:rPr>
          <w:b/>
          <w:sz w:val="28"/>
          <w:szCs w:val="28"/>
        </w:rPr>
      </w:pPr>
      <w:bookmarkStart w:id="6" w:name="_Toc8581441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6"/>
    </w:p>
    <w:p w:rsidR="006B729A" w:rsidRDefault="009F366D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lastRenderedPageBreak/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7" w:name="_Hlk107308697"/>
      <w:bookmarkEnd w:id="7"/>
    </w:p>
    <w:p w:rsidR="006B729A" w:rsidRDefault="006B729A">
      <w:pPr>
        <w:tabs>
          <w:tab w:val="left" w:pos="540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6B729A" w:rsidRDefault="009F366D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8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843"/>
        <w:gridCol w:w="1985"/>
        <w:gridCol w:w="2551"/>
        <w:gridCol w:w="3119"/>
      </w:tblGrid>
      <w:tr w:rsidR="006B729A">
        <w:trPr>
          <w:trHeight w:val="83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индикаторов</w:t>
            </w:r>
          </w:p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(умения и знания),</w:t>
            </w:r>
          </w:p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соотнесенные с</w:t>
            </w:r>
          </w:p>
          <w:p w:rsidR="006B729A" w:rsidRDefault="009F366D">
            <w:pPr>
              <w:pStyle w:val="TableParagraph"/>
              <w:suppressAutoHyphens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индикаторами достижения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pStyle w:val="ConsPlusNormal"/>
              <w:snapToGrid w:val="0"/>
              <w:ind w:left="119" w:right="182" w:firstLine="0"/>
              <w:jc w:val="center"/>
              <w:rPr>
                <w:rStyle w:val="FontStyle12"/>
                <w:lang w:eastAsia="en-US"/>
              </w:rPr>
            </w:pPr>
            <w:r>
              <w:rPr>
                <w:rStyle w:val="FontStyle12"/>
                <w:lang w:eastAsia="en-US"/>
              </w:rPr>
              <w:t>Типовые</w:t>
            </w:r>
            <w:r>
              <w:rPr>
                <w:rStyle w:val="FontStyle12"/>
                <w:lang w:eastAsia="en-US"/>
              </w:rPr>
              <w:br/>
              <w:t>контрольные</w:t>
            </w:r>
            <w:r>
              <w:rPr>
                <w:rStyle w:val="FontStyle12"/>
                <w:lang w:eastAsia="en-US"/>
              </w:rPr>
              <w:br/>
              <w:t>задания</w:t>
            </w:r>
          </w:p>
        </w:tc>
      </w:tr>
      <w:tr w:rsidR="006B729A">
        <w:trPr>
          <w:trHeight w:val="1833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ConsPlusNormal"/>
              <w:snapToGrid w:val="0"/>
              <w:ind w:left="119" w:right="182" w:firstLine="0"/>
              <w:rPr>
                <w:rStyle w:val="FontStyle12"/>
                <w:b w:val="0"/>
                <w:bCs w:val="0"/>
                <w:lang w:bidi="ru-RU"/>
              </w:rPr>
            </w:pPr>
            <w:r>
              <w:rPr>
                <w:rStyle w:val="FontStyle12"/>
                <w:b w:val="0"/>
                <w:bCs w:val="0"/>
                <w:lang w:bidi="ru-RU"/>
              </w:rPr>
              <w:t>ПКН-1</w:t>
            </w:r>
          </w:p>
          <w:p w:rsidR="006B729A" w:rsidRDefault="009F366D">
            <w:pPr>
              <w:pStyle w:val="ConsPlusNormal"/>
              <w:snapToGrid w:val="0"/>
              <w:ind w:left="119" w:right="182" w:firstLine="0"/>
              <w:rPr>
                <w:rFonts w:ascii="Times New Roman" w:hAnsi="Times New Roman" w:cs="Times New Roman"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Style w:val="FontStyle12"/>
                <w:rFonts w:eastAsiaTheme="minorEastAsia"/>
                <w:b w:val="0"/>
                <w:bCs w:val="0"/>
                <w:lang w:eastAsia="en-US"/>
              </w:rPr>
              <w:t xml:space="preserve"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</w:t>
            </w:r>
            <w:r>
              <w:rPr>
                <w:rStyle w:val="FontStyle12"/>
                <w:rFonts w:eastAsiaTheme="minorEastAsia"/>
                <w:b w:val="0"/>
                <w:bCs w:val="0"/>
                <w:lang w:eastAsia="en-US"/>
              </w:rPr>
              <w:lastRenderedPageBreak/>
              <w:t>кредита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ConsPlusNormal"/>
              <w:snapToGrid w:val="0"/>
              <w:ind w:left="119" w:right="182" w:firstLine="0"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lastRenderedPageBreak/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Знать –с</w:t>
            </w:r>
            <w:r>
              <w:rPr>
                <w:rFonts w:eastAsia="Calibri"/>
                <w:bCs/>
              </w:rPr>
              <w:t xml:space="preserve">овременные системы регулирования финансовых рынков, сложившиеся в странах с различным уровнем развития </w:t>
            </w:r>
          </w:p>
          <w:p w:rsidR="006B729A" w:rsidRDefault="006B729A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eastAsia="Calibri"/>
                <w:lang w:eastAsia="en-US"/>
              </w:rPr>
            </w:pPr>
          </w:p>
          <w:p w:rsidR="006B729A" w:rsidRDefault="009F366D">
            <w:pPr>
              <w:pStyle w:val="ConsPlusNormal"/>
              <w:snapToGrid w:val="0"/>
              <w:ind w:left="119" w:right="182" w:firstLine="0"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Уметь -</w:t>
            </w:r>
            <w:r>
              <w:rPr>
                <w:rFonts w:ascii="Times New Roman" w:eastAsia="Calibri" w:hAnsi="Times New Roman" w:cs="Times New Roman"/>
                <w:bCs/>
              </w:rPr>
              <w:t>формулировать преимущества и недостатки различных система регулирования и обосновывать рекомендации для российских регулятивных органов</w:t>
            </w:r>
          </w:p>
        </w:tc>
        <w:tc>
          <w:tcPr>
            <w:tcW w:w="31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Продемонстрировать умение найти нормативный документ/регулятора указанной страны.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b/>
                <w:color w:val="2C2D2E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Сравнить систему регулирования России до и после передачи функций регулятора финансовых рынков Банку России.</w:t>
            </w:r>
          </w:p>
          <w:p w:rsidR="006B729A" w:rsidRDefault="009F366D">
            <w:pPr>
              <w:pStyle w:val="ConsPlusNormal"/>
              <w:snapToGrid w:val="0"/>
              <w:ind w:left="137" w:right="98" w:hanging="137"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color w:val="2C2D2E"/>
                <w:sz w:val="23"/>
                <w:szCs w:val="23"/>
              </w:rPr>
              <w:t> </w:t>
            </w:r>
          </w:p>
        </w:tc>
      </w:tr>
      <w:tr w:rsidR="006B729A">
        <w:trPr>
          <w:trHeight w:val="943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pStyle w:val="Default"/>
              <w:widowControl w:val="0"/>
              <w:suppressAutoHyphens w:val="0"/>
              <w:snapToGrid w:val="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napToGrid w:val="0"/>
              <w:ind w:left="97" w:right="175"/>
              <w:rPr>
                <w:color w:val="000000"/>
              </w:rPr>
            </w:pPr>
            <w:r>
              <w:t>2</w:t>
            </w:r>
            <w:r>
              <w:rPr>
                <w:rStyle w:val="FontStyle12"/>
                <w:b w:val="0"/>
                <w:bCs w:val="0"/>
                <w:lang w:eastAsia="en-US"/>
              </w:rPr>
              <w:t>. Проводит критический анализ выявленных проблемных ситуаций.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93" w:right="194" w:hanging="93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</w:rPr>
              <w:t xml:space="preserve">  Знать – </w:t>
            </w:r>
            <w:r>
              <w:rPr>
                <w:rFonts w:eastAsia="Calibri"/>
                <w:bCs/>
              </w:rPr>
              <w:t>источники (отечественные и зарубежные), содержащие характеристику проблемных ситуаций в области финансовых рынков</w:t>
            </w:r>
          </w:p>
          <w:p w:rsidR="006B729A" w:rsidRDefault="009F366D">
            <w:pPr>
              <w:pStyle w:val="aff7"/>
              <w:widowControl w:val="0"/>
              <w:shd w:val="clear" w:color="auto" w:fill="FFFFFF"/>
              <w:spacing w:beforeAutospacing="0" w:afterAutospacing="0"/>
              <w:ind w:left="96" w:right="198"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rFonts w:eastAsia="Calibri"/>
                <w:b/>
              </w:rPr>
              <w:t xml:space="preserve">Уметь – </w:t>
            </w:r>
            <w:r>
              <w:rPr>
                <w:rFonts w:eastAsia="Calibri"/>
                <w:bCs/>
              </w:rPr>
              <w:t>Профессионально давать оценку проблемным ситуациям</w:t>
            </w:r>
          </w:p>
        </w:tc>
        <w:tc>
          <w:tcPr>
            <w:tcW w:w="31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color w:val="000000"/>
              </w:rPr>
            </w:pP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Дать характеристику Банка международных расчетов как стандартоустанавливающей организацией на финансовом рынке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Дать оценку регулятивным новациям, принятым странами Группы 20 после кризиса 2007-2009 гг.</w:t>
            </w:r>
          </w:p>
          <w:p w:rsidR="006B729A" w:rsidRDefault="009F366D">
            <w:pPr>
              <w:pStyle w:val="afd"/>
              <w:widowControl w:val="0"/>
              <w:ind w:left="137" w:right="98" w:hanging="137"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</w:p>
        </w:tc>
      </w:tr>
      <w:tr w:rsidR="006B729A">
        <w:trPr>
          <w:trHeight w:val="1989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pStyle w:val="Default"/>
              <w:widowControl w:val="0"/>
              <w:suppressAutoHyphens w:val="0"/>
              <w:snapToGrid w:val="0"/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ind w:left="96" w:right="170"/>
              <w:rPr>
                <w:color w:val="000000"/>
              </w:rPr>
            </w:pPr>
            <w:r>
              <w:rPr>
                <w:color w:val="000000"/>
              </w:rPr>
              <w:t xml:space="preserve">3. Выдвигает самостоятельные гипотезы при решении 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snapToGrid w:val="0"/>
              <w:ind w:left="96" w:right="170"/>
              <w:rPr>
                <w:color w:val="000000"/>
              </w:rPr>
            </w:pPr>
            <w:r>
              <w:rPr>
                <w:color w:val="000000"/>
              </w:rPr>
              <w:t>научно-исследовательских задач в области финансов и кредита.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ind w:left="135" w:right="194" w:hanging="11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Знать</w:t>
            </w:r>
            <w:r>
              <w:rPr>
                <w:lang w:eastAsia="en-US"/>
              </w:rPr>
              <w:t xml:space="preserve"> – методологические основы постановки научно-исследовательских задач и выдвижения гипотез в области финансов и кредита в целом и состояния финансового рынка в частности.</w:t>
            </w:r>
          </w:p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135" w:right="194" w:hanging="116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Уметь</w:t>
            </w:r>
            <w:r>
              <w:rPr>
                <w:rFonts w:eastAsia="Calibri"/>
                <w:lang w:eastAsia="en-US"/>
              </w:rPr>
              <w:t xml:space="preserve"> – аккумулировать релевантную научно-исследовательской задаче информационную базу и анализировать ее с помощью актуальных экономико-математических методов с целью подтверждения/ опровержения выдвинутых гипотез.</w:t>
            </w:r>
          </w:p>
          <w:p w:rsidR="006B729A" w:rsidRDefault="006B729A">
            <w:pPr>
              <w:pStyle w:val="ConsPlusNormal"/>
              <w:snapToGrid w:val="0"/>
              <w:ind w:left="119" w:right="182" w:firstLine="0"/>
              <w:rPr>
                <w:rStyle w:val="FontStyle12"/>
                <w:b w:val="0"/>
                <w:bCs w:val="0"/>
                <w:lang w:eastAsia="en-US"/>
              </w:rPr>
            </w:pPr>
          </w:p>
        </w:tc>
        <w:tc>
          <w:tcPr>
            <w:tcW w:w="31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color w:val="000000"/>
              </w:rPr>
            </w:pP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Увязать между собой факторы, повлиявшие на беспрецедентный рост фондового рынка в США после 2009 г.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</w:p>
          <w:p w:rsidR="006B729A" w:rsidRDefault="006B729A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pStyle w:val="ConsPlusNormal"/>
              <w:ind w:left="137" w:right="98" w:hanging="137"/>
              <w:contextualSpacing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С использованием базы данных 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CBONDS</w:t>
            </w:r>
            <w:r>
              <w:rPr>
                <w:rFonts w:ascii="Times New Roman" w:hAnsi="Times New Roman" w:cs="Times New Roman"/>
                <w:color w:val="000000"/>
              </w:rPr>
              <w:t> оценить связь между изменением ключевой ставки Банка России на цены корпоративных облигаций</w:t>
            </w:r>
          </w:p>
        </w:tc>
      </w:tr>
      <w:tr w:rsidR="006B729A">
        <w:trPr>
          <w:trHeight w:val="1642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pStyle w:val="Default"/>
              <w:widowControl w:val="0"/>
              <w:suppressAutoHyphens w:val="0"/>
              <w:snapToGrid w:val="0"/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hd w:val="clear" w:color="auto" w:fill="FFFFFF"/>
              <w:snapToGrid w:val="0"/>
              <w:ind w:left="92" w:right="36"/>
            </w:pPr>
            <w:r>
              <w:t xml:space="preserve">4.Разрабатывает эффективное решение проблем, предлагает новые оригинальные проекты, </w:t>
            </w:r>
            <w:r>
              <w:lastRenderedPageBreak/>
              <w:t xml:space="preserve">вырабатывает стратегию и планы действий.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napToGrid w:val="0"/>
              <w:ind w:left="235" w:right="182" w:hanging="116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</w:t>
            </w:r>
          </w:p>
          <w:p w:rsidR="006B729A" w:rsidRDefault="009F366D">
            <w:pPr>
              <w:widowControl w:val="0"/>
              <w:snapToGrid w:val="0"/>
              <w:ind w:left="135" w:right="182" w:hanging="116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фундаментальные и специфические признаки возникновения проблем в процессе совершения </w:t>
            </w:r>
            <w:r>
              <w:rPr>
                <w:lang w:eastAsia="en-US"/>
              </w:rPr>
              <w:lastRenderedPageBreak/>
              <w:t>операций с финансовыми инструментами для различных категорий участников финансового рынка.</w:t>
            </w:r>
          </w:p>
          <w:p w:rsidR="006B729A" w:rsidRDefault="009F366D">
            <w:pPr>
              <w:pStyle w:val="ConsPlusNormal"/>
              <w:snapToGrid w:val="0"/>
              <w:ind w:left="119" w:right="182" w:firstLine="0"/>
              <w:rPr>
                <w:rStyle w:val="FontStyle12"/>
                <w:b w:val="0"/>
                <w:bCs w:val="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– разрабатывать обобщенные модели регулирования финансового рынка</w:t>
            </w:r>
          </w:p>
        </w:tc>
        <w:tc>
          <w:tcPr>
            <w:tcW w:w="31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color w:val="000000"/>
              </w:rPr>
            </w:pPr>
            <w:r>
              <w:rPr>
                <w:b/>
                <w:color w:val="2C2D2E"/>
              </w:rPr>
              <w:lastRenderedPageBreak/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С использованием базы данных </w:t>
            </w:r>
            <w:r>
              <w:rPr>
                <w:color w:val="000000"/>
                <w:lang w:val="en-US"/>
              </w:rPr>
              <w:t>CBONDS</w:t>
            </w:r>
            <w:r>
              <w:rPr>
                <w:color w:val="000000"/>
              </w:rPr>
              <w:t xml:space="preserve"> проанализировать динамику корпоративного спреда доходности по отношению </w:t>
            </w:r>
            <w:r>
              <w:rPr>
                <w:color w:val="000000"/>
              </w:rPr>
              <w:lastRenderedPageBreak/>
              <w:t>к безрисковой ставке (на примере конкретного рынка)</w:t>
            </w:r>
          </w:p>
          <w:p w:rsidR="006B729A" w:rsidRDefault="006B729A">
            <w:pPr>
              <w:widowControl w:val="0"/>
              <w:spacing w:beforeAutospacing="1" w:afterAutospacing="1"/>
              <w:ind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tabs>
                <w:tab w:val="left" w:pos="169"/>
              </w:tabs>
              <w:ind w:left="137" w:right="98" w:hanging="137"/>
              <w:contextualSpacing/>
              <w:rPr>
                <w:rStyle w:val="FontStyle12"/>
                <w:rFonts w:eastAsiaTheme="minorHAnsi"/>
                <w:b w:val="0"/>
                <w:bCs w:val="0"/>
                <w:lang w:eastAsia="en-US"/>
              </w:rPr>
            </w:pPr>
            <w:r>
              <w:rPr>
                <w:color w:val="000000"/>
              </w:rPr>
              <w:t xml:space="preserve">   Обосновать адекватность/неадекватность существующей модели регулирования финансового рынка Росси</w:t>
            </w:r>
          </w:p>
        </w:tc>
      </w:tr>
      <w:tr w:rsidR="006B729A">
        <w:trPr>
          <w:trHeight w:val="5233"/>
        </w:trPr>
        <w:tc>
          <w:tcPr>
            <w:tcW w:w="18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pStyle w:val="aff4"/>
              <w:widowControl w:val="0"/>
              <w:snapToGrid w:val="0"/>
              <w:spacing w:after="0" w:line="240" w:lineRule="auto"/>
              <w:ind w:left="110" w:right="1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6B729A" w:rsidRDefault="009F366D">
            <w:pPr>
              <w:pStyle w:val="aff4"/>
              <w:widowControl w:val="0"/>
              <w:snapToGrid w:val="0"/>
              <w:spacing w:after="0" w:line="240" w:lineRule="auto"/>
              <w:ind w:left="110" w:right="1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проводить исследование проблем финансовой устойчивости организаций, в том числе финансово-кредитных, для разработки эффективных методов обеспечения их функционирования с учетом фактора неопределенности</w:t>
            </w:r>
          </w:p>
          <w:p w:rsidR="006B729A" w:rsidRDefault="006B729A">
            <w:pPr>
              <w:pStyle w:val="aff4"/>
              <w:widowControl w:val="0"/>
              <w:snapToGrid w:val="0"/>
              <w:spacing w:after="0" w:line="240" w:lineRule="auto"/>
              <w:ind w:left="110" w:right="179"/>
              <w:rPr>
                <w:rStyle w:val="FontStyle12"/>
                <w:b w:val="0"/>
                <w:bCs w:val="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hd w:val="clear" w:color="auto" w:fill="FFFFFF"/>
              <w:snapToGrid w:val="0"/>
              <w:ind w:left="92" w:right="178"/>
            </w:pPr>
            <w:r>
              <w:rPr>
                <w:rFonts w:eastAsia="Calibri"/>
              </w:rPr>
              <w:t>1. Применяет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540"/>
              </w:tabs>
              <w:spacing w:after="160" w:line="259" w:lineRule="auto"/>
              <w:ind w:left="235" w:right="182" w:hanging="116"/>
              <w:contextualSpacing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Знать - </w:t>
            </w:r>
            <w:r>
              <w:rPr>
                <w:rFonts w:eastAsia="Calibri"/>
                <w:iCs/>
                <w:lang w:eastAsia="en-US"/>
              </w:rPr>
              <w:t>систему рыночных индикаторов и финансово-экономических показателей</w:t>
            </w:r>
            <w:r>
              <w:rPr>
                <w:rFonts w:eastAsia="Calibri"/>
                <w:bCs/>
                <w:iCs/>
                <w:lang w:eastAsia="en-US"/>
              </w:rPr>
              <w:t xml:space="preserve"> в денежно-кредитной и финансово-банковской сферах.</w:t>
            </w:r>
          </w:p>
          <w:p w:rsidR="006B729A" w:rsidRDefault="009F366D">
            <w:pPr>
              <w:widowControl w:val="0"/>
              <w:spacing w:after="160" w:line="259" w:lineRule="auto"/>
              <w:ind w:left="235" w:right="182" w:hanging="116"/>
              <w:rPr>
                <w:rStyle w:val="FontStyle12"/>
                <w:rFonts w:eastAsia="Calibri"/>
                <w:b w:val="0"/>
                <w:i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 Уметь - с</w:t>
            </w:r>
            <w:r>
              <w:rPr>
                <w:rFonts w:eastAsia="Calibri"/>
                <w:bCs/>
                <w:iCs/>
                <w:lang w:eastAsia="en-US"/>
              </w:rPr>
              <w:t>амостоятельно осуществлять сбор данных, проводить финансово-экономические расчеты и интерпретировать полученные результаты.</w:t>
            </w:r>
          </w:p>
        </w:tc>
        <w:tc>
          <w:tcPr>
            <w:tcW w:w="31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color w:val="000000"/>
              </w:rPr>
            </w:pP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С помощью базы данных МВФ построить графики ключевых процентных ставок стран Группы 20 за несколько лет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</w:p>
          <w:p w:rsidR="006B729A" w:rsidRDefault="009F366D">
            <w:pPr>
              <w:widowControl w:val="0"/>
              <w:spacing w:beforeAutospacing="1" w:afterAutospacing="1"/>
              <w:ind w:left="135" w:right="105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b/>
                <w:color w:val="2C2D2E"/>
              </w:rPr>
              <w:t xml:space="preserve">Задание </w:t>
            </w:r>
          </w:p>
          <w:p w:rsidR="006B729A" w:rsidRDefault="009F366D">
            <w:pPr>
              <w:widowControl w:val="0"/>
              <w:tabs>
                <w:tab w:val="left" w:pos="540"/>
              </w:tabs>
              <w:ind w:left="137" w:right="98" w:hanging="137"/>
              <w:contextualSpacing/>
              <w:rPr>
                <w:rStyle w:val="FontStyle12"/>
                <w:rFonts w:eastAsiaTheme="minorHAnsi"/>
                <w:b w:val="0"/>
                <w:lang w:eastAsia="en-US"/>
              </w:rPr>
            </w:pPr>
            <w:r>
              <w:rPr>
                <w:color w:val="000000"/>
              </w:rPr>
              <w:t xml:space="preserve">  С помощью базы данных МВФ проанализировать динамику притока прямых и портфельных инвестиций в страны БРИКС</w:t>
            </w:r>
          </w:p>
        </w:tc>
      </w:tr>
      <w:tr w:rsidR="006B729A">
        <w:trPr>
          <w:trHeight w:val="1721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6B729A">
            <w:pPr>
              <w:pStyle w:val="aff4"/>
              <w:widowControl w:val="0"/>
              <w:snapToGrid w:val="0"/>
              <w:spacing w:after="0" w:line="240" w:lineRule="auto"/>
              <w:ind w:left="0"/>
              <w:rPr>
                <w:rStyle w:val="FontStyle12"/>
                <w:rFonts w:eastAsiaTheme="minorHAnsi"/>
                <w:b w:val="0"/>
                <w:lang w:val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shd w:val="clear" w:color="auto" w:fill="FFFFFF"/>
              <w:snapToGrid w:val="0"/>
              <w:ind w:left="92" w:right="178"/>
              <w:rPr>
                <w:rStyle w:val="FontStyle12"/>
                <w:rFonts w:eastAsiaTheme="minorHAnsi"/>
                <w:b w:val="0"/>
              </w:rPr>
            </w:pPr>
            <w:r>
              <w:rPr>
                <w:rFonts w:eastAsia="Calibri"/>
              </w:rPr>
              <w:t>2. Демонстрирует навыки выработки адекватных управленческих решений в области управления финансами хозяйствующего субъекта.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9A" w:rsidRDefault="009F366D">
            <w:pPr>
              <w:widowControl w:val="0"/>
              <w:tabs>
                <w:tab w:val="left" w:pos="993"/>
              </w:tabs>
              <w:spacing w:line="259" w:lineRule="auto"/>
              <w:ind w:left="235" w:right="182" w:hanging="116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 Знать - </w:t>
            </w:r>
            <w:r>
              <w:rPr>
                <w:rFonts w:eastAsia="Calibri"/>
                <w:bCs/>
                <w:iCs/>
                <w:lang w:eastAsia="en-US"/>
              </w:rPr>
              <w:t xml:space="preserve">методы и приемы анализа и прогнозирования </w:t>
            </w:r>
            <w:r>
              <w:rPr>
                <w:rFonts w:eastAsia="Calibri"/>
                <w:iCs/>
                <w:lang w:eastAsia="en-US"/>
              </w:rPr>
              <w:t>экономических процессов</w:t>
            </w:r>
            <w:r>
              <w:rPr>
                <w:rFonts w:eastAsia="Calibri"/>
                <w:bCs/>
                <w:iCs/>
                <w:lang w:eastAsia="en-US"/>
              </w:rPr>
              <w:t xml:space="preserve"> и явлений на международных финансовых рынках.</w:t>
            </w:r>
          </w:p>
          <w:p w:rsidR="006B729A" w:rsidRDefault="009F366D">
            <w:pPr>
              <w:widowControl w:val="0"/>
              <w:spacing w:after="160" w:line="259" w:lineRule="auto"/>
              <w:ind w:left="235" w:right="182" w:hanging="116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/>
              </w:rPr>
              <w:t xml:space="preserve">  Уметь - </w:t>
            </w:r>
            <w:r>
              <w:rPr>
                <w:rFonts w:eastAsia="Calibri"/>
                <w:bCs/>
                <w:lang w:eastAsia="en-US"/>
              </w:rPr>
              <w:t xml:space="preserve">интерпретировать и применять на практике результаты экономического и конъюнктурного анализа </w:t>
            </w:r>
            <w:r>
              <w:rPr>
                <w:rFonts w:eastAsia="Calibri"/>
                <w:bCs/>
                <w:lang w:eastAsia="en-US"/>
              </w:rPr>
              <w:lastRenderedPageBreak/>
              <w:t>международных финансовых рынков.</w:t>
            </w:r>
          </w:p>
          <w:p w:rsidR="006B729A" w:rsidRDefault="006B729A">
            <w:pPr>
              <w:pStyle w:val="ConsPlusNormal"/>
              <w:snapToGrid w:val="0"/>
              <w:ind w:left="119" w:right="182" w:firstLine="0"/>
              <w:rPr>
                <w:rStyle w:val="FontStyle12"/>
                <w:rFonts w:eastAsiaTheme="minorHAnsi"/>
                <w:b w:val="0"/>
                <w:lang w:eastAsia="en-US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A" w:rsidRDefault="009F366D">
            <w:pPr>
              <w:widowControl w:val="0"/>
              <w:rPr>
                <w:b/>
                <w:color w:val="2C2D2E"/>
              </w:rPr>
            </w:pPr>
            <w:r>
              <w:rPr>
                <w:b/>
                <w:color w:val="2C2D2E"/>
              </w:rPr>
              <w:lastRenderedPageBreak/>
              <w:t xml:space="preserve">Задание </w:t>
            </w:r>
          </w:p>
          <w:p w:rsidR="006B729A" w:rsidRDefault="006B729A">
            <w:pPr>
              <w:widowControl w:val="0"/>
              <w:rPr>
                <w:bCs/>
              </w:rPr>
            </w:pPr>
          </w:p>
          <w:p w:rsidR="006B729A" w:rsidRDefault="009F366D">
            <w:pPr>
              <w:widowControl w:val="0"/>
              <w:rPr>
                <w:bCs/>
              </w:rPr>
            </w:pPr>
            <w:r>
              <w:rPr>
                <w:bCs/>
              </w:rPr>
              <w:t>1) Проанализируйте причины и последствия кейсов на крипторынке: FTX, TerraUSD, Celsius,Silvergate. Опишите реакцию международных и национальных регуляторов. Опишите необходимые меры по предотвращению системного кризиса.</w:t>
            </w:r>
          </w:p>
          <w:p w:rsidR="006B729A" w:rsidRDefault="006B729A">
            <w:pPr>
              <w:widowControl w:val="0"/>
              <w:ind w:firstLine="480"/>
              <w:rPr>
                <w:bCs/>
              </w:rPr>
            </w:pPr>
          </w:p>
          <w:p w:rsidR="006B729A" w:rsidRDefault="009F366D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Представьте анализ проблематике обхода антироссийских санкций через инструменты крипторынка. Каковы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особенности и инструментарий санкционного комплаенса на крипторынке?</w:t>
            </w:r>
          </w:p>
          <w:p w:rsidR="006B729A" w:rsidRDefault="006B729A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</w:rPr>
            </w:pPr>
          </w:p>
          <w:p w:rsidR="006B729A" w:rsidRDefault="009F366D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Проанализируйте MICAR. Какие вызовы встают перед комплаенс-системами финансового рынка ЕС?</w:t>
            </w:r>
          </w:p>
          <w:p w:rsidR="006B729A" w:rsidRDefault="006B729A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</w:rPr>
            </w:pPr>
          </w:p>
          <w:p w:rsidR="006B729A" w:rsidRDefault="009F366D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Проанализируйте судебную практику в России в отношении цифровых прав и цифровых валют. Какие проблемы она высвечивает относительно эффективности применения законодательства, его пробелов, совместимости с международной регуляторикой и зарубежными моделями? Какие вызовы, риски и возможности открывает перед банками создание рынка цифровых активов?</w:t>
            </w:r>
          </w:p>
          <w:p w:rsidR="006B729A" w:rsidRDefault="006B729A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</w:rPr>
            </w:pPr>
          </w:p>
          <w:p w:rsidR="006B729A" w:rsidRDefault="009F366D">
            <w:pPr>
              <w:widowControl w:val="0"/>
            </w:pPr>
            <w:r>
              <w:t xml:space="preserve">5) Определите место </w:t>
            </w:r>
            <w:r>
              <w:rPr>
                <w:lang w:val="en-US"/>
              </w:rPr>
              <w:t>CBDC</w:t>
            </w:r>
            <w:r>
              <w:t xml:space="preserve"> в системе разновидностей денег. Опишите</w:t>
            </w:r>
            <w:r>
              <w:rPr>
                <w:lang w:val="en-US"/>
              </w:rPr>
              <w:t xml:space="preserve"> </w:t>
            </w:r>
            <w:r>
              <w:t>различия</w:t>
            </w:r>
            <w:r>
              <w:rPr>
                <w:lang w:val="en-US"/>
              </w:rPr>
              <w:t xml:space="preserve"> </w:t>
            </w:r>
            <w:r>
              <w:t>между</w:t>
            </w:r>
            <w:r>
              <w:rPr>
                <w:lang w:val="en-US"/>
              </w:rPr>
              <w:t xml:space="preserve"> token-based </w:t>
            </w:r>
            <w:r>
              <w:t>и</w:t>
            </w:r>
            <w:r>
              <w:rPr>
                <w:lang w:val="en-US"/>
              </w:rPr>
              <w:t xml:space="preserve"> account-based CBDC. </w:t>
            </w:r>
            <w:r>
              <w:t>Дайте различия между государственными (</w:t>
            </w:r>
            <w:r>
              <w:rPr>
                <w:lang w:val="en-US"/>
              </w:rPr>
              <w:t>CBDC</w:t>
            </w:r>
            <w:r>
              <w:t>) и частными (</w:t>
            </w:r>
            <w:r>
              <w:rPr>
                <w:lang w:val="en-US"/>
              </w:rPr>
              <w:t>Libra</w:t>
            </w:r>
            <w:r>
              <w:t xml:space="preserve">, </w:t>
            </w:r>
            <w:r>
              <w:rPr>
                <w:lang w:val="en-US"/>
              </w:rPr>
              <w:t>Gram</w:t>
            </w:r>
            <w:r>
              <w:t>…) стейблкоинами.</w:t>
            </w:r>
          </w:p>
          <w:p w:rsidR="006B729A" w:rsidRDefault="006B729A">
            <w:pPr>
              <w:widowControl w:val="0"/>
            </w:pPr>
          </w:p>
          <w:p w:rsidR="006B729A" w:rsidRDefault="009F366D">
            <w:pPr>
              <w:widowControl w:val="0"/>
            </w:pPr>
            <w:r>
              <w:t xml:space="preserve">6) Каковы особенности крипто-комплаенса на финансовом рынке США? Определяется ли он моделью пруденциального надзора в США. </w:t>
            </w:r>
          </w:p>
          <w:p w:rsidR="006B729A" w:rsidRDefault="006B729A">
            <w:pPr>
              <w:pStyle w:val="ConsPlusNormal"/>
              <w:ind w:left="137" w:right="98" w:hanging="137"/>
              <w:contextualSpacing/>
              <w:rPr>
                <w:rFonts w:ascii="Times New Roman" w:hAnsi="Times New Roman" w:cs="Times New Roman"/>
              </w:rPr>
            </w:pPr>
          </w:p>
          <w:p w:rsidR="006B729A" w:rsidRDefault="006B729A">
            <w:pPr>
              <w:pStyle w:val="ConsPlusNormal"/>
              <w:ind w:left="137" w:right="98" w:hanging="137"/>
              <w:contextualSpacing/>
              <w:rPr>
                <w:rStyle w:val="FontStyle12"/>
                <w:rFonts w:eastAsiaTheme="minorHAnsi"/>
                <w:b w:val="0"/>
                <w:lang w:eastAsia="en-US"/>
              </w:rPr>
            </w:pPr>
            <w:bookmarkStart w:id="8" w:name="OLE_LINK97"/>
            <w:bookmarkStart w:id="9" w:name="OLE_LINK96"/>
            <w:bookmarkStart w:id="10" w:name="_Hlk107308407"/>
            <w:bookmarkStart w:id="11" w:name="_Hlk25255353"/>
            <w:bookmarkEnd w:id="8"/>
            <w:bookmarkEnd w:id="9"/>
            <w:bookmarkEnd w:id="10"/>
            <w:bookmarkEnd w:id="11"/>
          </w:p>
        </w:tc>
      </w:tr>
    </w:tbl>
    <w:p w:rsidR="006B729A" w:rsidRDefault="006B729A">
      <w:pPr>
        <w:tabs>
          <w:tab w:val="left" w:pos="284"/>
          <w:tab w:val="left" w:pos="993"/>
          <w:tab w:val="left" w:pos="1134"/>
        </w:tabs>
        <w:snapToGrid w:val="0"/>
        <w:ind w:firstLine="709"/>
        <w:jc w:val="both"/>
        <w:rPr>
          <w:color w:val="000000"/>
          <w:sz w:val="28"/>
          <w:szCs w:val="28"/>
        </w:rPr>
      </w:pPr>
    </w:p>
    <w:p w:rsidR="006B729A" w:rsidRDefault="009F366D">
      <w:pPr>
        <w:pStyle w:val="afff0"/>
        <w:tabs>
          <w:tab w:val="left" w:pos="993"/>
          <w:tab w:val="left" w:pos="1134"/>
        </w:tabs>
        <w:snapToGrid w:val="0"/>
        <w:spacing w:line="240" w:lineRule="auto"/>
        <w:ind w:firstLine="709"/>
      </w:pPr>
      <w:r>
        <w:t>Примерный перечень вопросов к зачету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 xml:space="preserve">Классификация современных моделей регулирования финансовых рынков (эволюция, страновые примеры). 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Эволюция и современная структура регулирования финансового рынка России.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lastRenderedPageBreak/>
        <w:t>Банка России как единый регулятор финансового рынка: проблемная характеристика.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 xml:space="preserve">Эволюция системы регулирования мирового валютного рынка (с конца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до настоящего времени).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Мировой финансовый кризис 2007-2009 гг. и его влияние на архитектуру финансовых рынков и ее регулирование.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Характеристика законов США в области финансовых рынков 1930х годов и их влияние на законодательство других стран.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Саморегулирование на финансовых рынках. Примеры саморегулируемых организаций в России и за рубежом.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Функции ведущих международных экономических организаций в области регулирования финансовых рынков (МВФ, Мировой банк, Банк международных расчетов, ОЭСР, ИОСКО, Совет по финансовой стабильности).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Регулирование финансовых рынков в Европейском союзе: нормативная база, структура органов регулирования, влияние на другие страны.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Формирование общего финансового рынка стран Евразийского экономического союза (ЕАЭС). Роль Евразийской экономической комиссии (ЕЭК).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Система регулирования финансового рынка КНР.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Существует ли наднациональная система регулирования финансового рынка?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 xml:space="preserve">Характеристика существующих международных стандартов в области финансовых рынков.  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 xml:space="preserve">Особенности регулирования международного рынка ценных бумаг (рынка еврооблигаций). 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Принципы корпоративного управления ОЭСР и их реализация в России.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Противодействие неправомерному использованию инсайдерской информации и/или манипулированию на рынке ценных бумаг</w:t>
      </w:r>
      <w:r>
        <w:rPr>
          <w:sz w:val="28"/>
          <w:szCs w:val="28"/>
        </w:rPr>
        <w:t>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sz w:val="28"/>
          <w:szCs w:val="28"/>
        </w:rPr>
        <w:t>Регулирование цифровых финансовых активов в основных юрисдикциях и России.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</w:pPr>
      <w:r>
        <w:rPr>
          <w:rFonts w:eastAsia="HiddenHorzOCR"/>
          <w:bCs/>
          <w:sz w:val="28"/>
          <w:szCs w:val="28"/>
        </w:rPr>
        <w:t>Цифровые права, цифровые финансовые активы, утилитарные цифровые права, цифровые валюты: анализ понятийного ряда отечественного цифрового законодательства.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Регулирование деятельности криптовалютных бирж. 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  <w:rPr>
          <w:color w:val="000000"/>
          <w:sz w:val="28"/>
          <w:szCs w:val="28"/>
        </w:rPr>
      </w:pPr>
      <w:r>
        <w:rPr>
          <w:rFonts w:eastAsia="HiddenHorzOCR"/>
          <w:bCs/>
          <w:sz w:val="28"/>
          <w:szCs w:val="28"/>
        </w:rPr>
        <w:t>Анализ видов деятельности на крипторынке: майнинг, обмен, трейдинг, хранение и т.п</w:t>
      </w:r>
    </w:p>
    <w:p w:rsidR="006B729A" w:rsidRDefault="009F366D">
      <w:pPr>
        <w:pStyle w:val="aff7"/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napToGrid w:val="0"/>
        <w:spacing w:beforeAutospacing="0" w:afterAutospacing="0" w:line="276" w:lineRule="auto"/>
        <w:ind w:left="0" w:firstLine="65"/>
        <w:jc w:val="both"/>
        <w:rPr>
          <w:color w:val="000000"/>
          <w:sz w:val="28"/>
          <w:szCs w:val="28"/>
        </w:rPr>
      </w:pPr>
      <w:r>
        <w:rPr>
          <w:rFonts w:eastAsia="HiddenHorzOCR"/>
          <w:bCs/>
          <w:sz w:val="28"/>
          <w:szCs w:val="28"/>
        </w:rPr>
        <w:t>Анализ видов деятельности согласно 259-ФЗ</w:t>
      </w:r>
    </w:p>
    <w:p w:rsidR="006B729A" w:rsidRDefault="006B729A">
      <w:pPr>
        <w:tabs>
          <w:tab w:val="left" w:pos="284"/>
          <w:tab w:val="left" w:pos="993"/>
        </w:tabs>
        <w:spacing w:line="276" w:lineRule="auto"/>
        <w:jc w:val="both"/>
        <w:rPr>
          <w:color w:val="000000"/>
          <w:sz w:val="28"/>
          <w:szCs w:val="28"/>
        </w:rPr>
      </w:pPr>
    </w:p>
    <w:p w:rsidR="006B729A" w:rsidRDefault="009F366D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</w:p>
    <w:tbl>
      <w:tblPr>
        <w:tblStyle w:val="afff6"/>
        <w:tblW w:w="9344" w:type="dxa"/>
        <w:tblLayout w:type="fixed"/>
        <w:tblLook w:val="04A0" w:firstRow="1" w:lastRow="0" w:firstColumn="1" w:lastColumn="0" w:noHBand="0" w:noVBand="1"/>
      </w:tblPr>
      <w:tblGrid>
        <w:gridCol w:w="4673"/>
        <w:gridCol w:w="4671"/>
      </w:tblGrid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: «Закон о пузырях» </w:t>
            </w:r>
            <w:r>
              <w:rPr>
                <w:sz w:val="28"/>
                <w:szCs w:val="28"/>
                <w:lang w:val="en-US"/>
              </w:rPr>
              <w:t>Bubble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Act</w:t>
            </w:r>
            <w:r>
              <w:rPr>
                <w:sz w:val="28"/>
                <w:szCs w:val="28"/>
              </w:rPr>
              <w:t>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способствовал повышению темпов развития акционерных компаний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 в 1720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отменен в 19 веке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 в США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затормозил развитие акционерных компаний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 в Англии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 в 1820 г.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При прочих равных условиях цены акций, облигаций и недвижимости в случае повышения ключевой процентной ставки центральным банком развитой страны (например, ФРС) поведут следующим образом: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акций повысятся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акций понизятся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облигаций повысятся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облигаций понизятся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на недвижимость повысятся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на недвижимость понизятся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Модель регулирования с помощью мегарегулятора действует (2020 г.) в: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Китае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Корее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Бразилии</w:t>
            </w:r>
          </w:p>
          <w:p w:rsidR="006B729A" w:rsidRDefault="009F366D">
            <w:pPr>
              <w:widowControl w:val="0"/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Германии</w:t>
            </w:r>
          </w:p>
          <w:p w:rsidR="006B729A" w:rsidRDefault="009F366D">
            <w:pPr>
              <w:widowControl w:val="0"/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Японии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России</w:t>
            </w:r>
          </w:p>
          <w:p w:rsidR="006B729A" w:rsidRDefault="006B729A">
            <w:pPr>
              <w:widowControl w:val="0"/>
              <w:rPr>
                <w:sz w:val="28"/>
                <w:szCs w:val="28"/>
              </w:rPr>
            </w:pP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В роли международного координатора усилий по созданию системы регулирования финансовых рынков выступает …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МВФ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Мировой банк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ОЭСР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по финансовой стабильности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ИОСКО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ООН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разработки мер по борьбе с отмыванием денег (ФАТФ)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ИОСКО (IOSCO) это …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Международная организация фондовых дилеров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Международная организация фондовых бирж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Международная организация организаций расчетной инфраструктуры фондового рынка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Международный союз клиринговых организаций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Международная организация комиссий по ценным бумагам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Банк международных расчетов (</w:t>
            </w:r>
            <w:r>
              <w:rPr>
                <w:sz w:val="28"/>
                <w:szCs w:val="28"/>
                <w:lang w:val="en-US"/>
              </w:rPr>
              <w:t>BIS</w:t>
            </w:r>
            <w:r>
              <w:rPr>
                <w:sz w:val="28"/>
                <w:szCs w:val="28"/>
              </w:rPr>
              <w:t>):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Находится в Цюрихе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Находится в Париже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Занимается расчетами на рынке еврооблигаций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Занимается расчетами между центральными банками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Ведет базу данных по долговым инструментам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Ведет базу данных по акциям</w:t>
            </w:r>
          </w:p>
          <w:p w:rsidR="006B729A" w:rsidRDefault="009F366D">
            <w:pPr>
              <w:widowControl w:val="0"/>
            </w:pPr>
            <w:r>
              <w:rPr>
                <w:sz w:val="28"/>
                <w:szCs w:val="28"/>
              </w:rPr>
              <w:t>Ведет базу данных по производным финансовым инструментам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: Регулированием рынка ценных </w:t>
            </w:r>
            <w:r>
              <w:rPr>
                <w:sz w:val="28"/>
                <w:szCs w:val="28"/>
              </w:rPr>
              <w:lastRenderedPageBreak/>
              <w:t>бумаг и ПФИ в США занимаются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Федеральная резервная система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Контролер денежного обращения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Федеральная корпорация страхования депозитов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ценным бумагам и биржам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товарным фьючерсам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t>S</w:t>
            </w:r>
            <w:r>
              <w:rPr>
                <w:color w:val="00000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ФРС США была создана на основании закона …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1913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1933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1865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1945 г.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lastRenderedPageBreak/>
              <w:t>S</w:t>
            </w:r>
            <w:r>
              <w:rPr>
                <w:color w:val="00000A"/>
                <w:sz w:val="28"/>
                <w:szCs w:val="28"/>
              </w:rPr>
              <w:t xml:space="preserve">: В ходе Нового курса Рузвельта в </w:t>
            </w:r>
            <w:r>
              <w:rPr>
                <w:color w:val="00000A"/>
                <w:sz w:val="28"/>
                <w:szCs w:val="28"/>
              </w:rPr>
              <w:lastRenderedPageBreak/>
              <w:t>США были приняты законы:</w:t>
            </w:r>
          </w:p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Сарбейнса-Оксли</w:t>
            </w:r>
          </w:p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Грэмма-Лича-Блайли</w:t>
            </w:r>
          </w:p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Додда-Франка</w:t>
            </w:r>
          </w:p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Гласса-Стигалла</w:t>
            </w:r>
          </w:p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О ценных бумагах</w:t>
            </w:r>
          </w:p>
          <w:p w:rsidR="006B729A" w:rsidRDefault="009F366D">
            <w:pPr>
              <w:widowControl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О фондовых биржах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lastRenderedPageBreak/>
              <w:t>S</w:t>
            </w:r>
            <w:r>
              <w:rPr>
                <w:color w:val="00000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Регулированием банков в США занимаются: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Федеральная резервная система (</w:t>
            </w:r>
            <w:r>
              <w:rPr>
                <w:sz w:val="28"/>
                <w:szCs w:val="28"/>
                <w:lang w:val="en-US"/>
              </w:rPr>
              <w:t>Fed</w:t>
            </w:r>
            <w:r>
              <w:rPr>
                <w:sz w:val="28"/>
                <w:szCs w:val="28"/>
              </w:rPr>
              <w:t>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Контролер денежного обращения (</w:t>
            </w:r>
            <w:r>
              <w:rPr>
                <w:sz w:val="28"/>
                <w:szCs w:val="28"/>
                <w:lang w:val="en-US"/>
              </w:rPr>
              <w:t>OCC</w:t>
            </w:r>
            <w:r>
              <w:rPr>
                <w:sz w:val="28"/>
                <w:szCs w:val="28"/>
              </w:rPr>
              <w:t>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Федеральная корпорация страхования депозитов (</w:t>
            </w:r>
            <w:r>
              <w:rPr>
                <w:sz w:val="28"/>
                <w:szCs w:val="28"/>
                <w:lang w:val="en-US"/>
              </w:rPr>
              <w:t>FDIC</w:t>
            </w:r>
            <w:r>
              <w:rPr>
                <w:sz w:val="28"/>
                <w:szCs w:val="28"/>
              </w:rPr>
              <w:t>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ценным бумагам и биржам (</w:t>
            </w:r>
            <w:r>
              <w:rPr>
                <w:sz w:val="28"/>
                <w:szCs w:val="28"/>
                <w:lang w:val="en-US"/>
              </w:rPr>
              <w:t>SEC</w:t>
            </w:r>
            <w:r>
              <w:rPr>
                <w:sz w:val="28"/>
                <w:szCs w:val="28"/>
              </w:rPr>
              <w:t>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фьючерсной торговле (</w:t>
            </w:r>
            <w:r>
              <w:rPr>
                <w:sz w:val="28"/>
                <w:szCs w:val="28"/>
                <w:lang w:val="en-US"/>
              </w:rPr>
              <w:t>CFTC</w:t>
            </w:r>
            <w:r>
              <w:rPr>
                <w:sz w:val="28"/>
                <w:szCs w:val="28"/>
              </w:rPr>
              <w:t>)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t>S</w:t>
            </w:r>
            <w:r>
              <w:rPr>
                <w:color w:val="00000A"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Закон Гласса-Стигала (США) регулировал: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ценных бумаг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взаимных фондов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банков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 в 1933 г.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 в 1923 г.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t>S</w:t>
            </w:r>
            <w:r>
              <w:rPr>
                <w:color w:val="00000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Комиссия по ценным бумагам и биржам США является: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независимым органом регулирования рынка ценных бумаг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подчинена министерству финансов (казначейству)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подчинена ФРС и возглавляется председателем правления ФРС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финансируется из федерального бюджета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финансируется за счет взносов профессиональных участников и корпораций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Саморегулируемая организация участников рынка ценных бумаг США называется (аббревиатура латинскими буквами)…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: Из приведенных ниже </w:t>
            </w:r>
            <w:r>
              <w:rPr>
                <w:sz w:val="28"/>
                <w:szCs w:val="28"/>
              </w:rPr>
              <w:lastRenderedPageBreak/>
              <w:t xml:space="preserve">организаций </w:t>
            </w:r>
            <w:r>
              <w:rPr>
                <w:b/>
                <w:sz w:val="28"/>
                <w:szCs w:val="28"/>
              </w:rPr>
              <w:t xml:space="preserve">непосредственное отношение </w:t>
            </w:r>
            <w:r>
              <w:rPr>
                <w:sz w:val="28"/>
                <w:szCs w:val="28"/>
              </w:rPr>
              <w:t>к рынку еврооблигаций имеют:</w:t>
            </w:r>
          </w:p>
          <w:p w:rsidR="006B729A" w:rsidRDefault="009F366D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BIS</w:t>
            </w:r>
          </w:p>
          <w:p w:rsidR="006B729A" w:rsidRDefault="009F366D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IOSCO</w:t>
            </w:r>
          </w:p>
          <w:p w:rsidR="006B729A" w:rsidRDefault="009F366D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ISO</w:t>
            </w:r>
          </w:p>
          <w:p w:rsidR="006B729A" w:rsidRDefault="009F366D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ICMA</w:t>
            </w:r>
          </w:p>
          <w:p w:rsidR="006B729A" w:rsidRDefault="009F366D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OECD</w:t>
            </w:r>
          </w:p>
          <w:p w:rsidR="006B729A" w:rsidRDefault="009F366D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Clearstream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Euroclear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S</w:t>
            </w:r>
            <w:r>
              <w:rPr>
                <w:sz w:val="28"/>
                <w:szCs w:val="28"/>
              </w:rPr>
              <w:t xml:space="preserve">: Саморегулируемая организация </w:t>
            </w:r>
            <w:r>
              <w:rPr>
                <w:sz w:val="28"/>
                <w:szCs w:val="28"/>
              </w:rPr>
              <w:lastRenderedPageBreak/>
              <w:t>на международном рынке ценных бумаг называется (аббревиатура латинскими буквами)…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tabs>
                <w:tab w:val="left" w:pos="949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S</w:t>
            </w:r>
            <w:r>
              <w:rPr>
                <w:sz w:val="28"/>
                <w:szCs w:val="28"/>
              </w:rPr>
              <w:t>: Переход к системе единого регулятора в Англии в конце 1990-х годов связан с:</w:t>
            </w:r>
          </w:p>
          <w:p w:rsidR="006B729A" w:rsidRDefault="009F366D">
            <w:pPr>
              <w:widowControl w:val="0"/>
              <w:tabs>
                <w:tab w:val="left" w:pos="949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растущей интеграцией финансовых рынков</w:t>
            </w:r>
          </w:p>
          <w:p w:rsidR="006B729A" w:rsidRDefault="009F366D">
            <w:pPr>
              <w:widowControl w:val="0"/>
              <w:tabs>
                <w:tab w:val="left" w:pos="949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стиранием функциональных различий между отдельными типами финансовых учреждений</w:t>
            </w:r>
          </w:p>
          <w:p w:rsidR="006B729A" w:rsidRDefault="009F366D">
            <w:pPr>
              <w:widowControl w:val="0"/>
              <w:tabs>
                <w:tab w:val="left" w:pos="949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стремлением уменьшить регулятивные издержки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необходимостью устранить конфликт интересов в системе регулирования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Модель регулирования финансового рынка Великобритании в настоящее время (2022) можно отнести к….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Секторальной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Отраслевой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единым регулятором (мегарегулирование)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Саморегулирование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регулированием по целям (</w:t>
            </w:r>
            <w:r>
              <w:rPr>
                <w:sz w:val="28"/>
                <w:szCs w:val="28"/>
                <w:lang w:val="en-US"/>
              </w:rPr>
              <w:t>twin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peaks</w:t>
            </w:r>
            <w:r>
              <w:rPr>
                <w:sz w:val="28"/>
                <w:szCs w:val="28"/>
              </w:rPr>
              <w:t>)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Модель регулирования финансового рынка в Германии можно охарактеризовать как…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Мегарегулятора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 целей (</w:t>
            </w:r>
            <w:r>
              <w:rPr>
                <w:sz w:val="28"/>
                <w:szCs w:val="28"/>
                <w:lang w:val="en-US"/>
              </w:rPr>
              <w:t>twin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peaks</w:t>
            </w:r>
            <w:r>
              <w:rPr>
                <w:sz w:val="28"/>
                <w:szCs w:val="28"/>
              </w:rPr>
              <w:t>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Отраслевую (секторальную)</w:t>
            </w:r>
          </w:p>
          <w:p w:rsidR="006B729A" w:rsidRDefault="009F366D">
            <w:pPr>
              <w:widowControl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Смешанную 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: В Китае сложилась система регулирования финансового рынка, которая характеризуется: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наличием единого регулятора (мегарегулирование)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наличием нескольких регуляторов (секторальная модель)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наличием двух регуляторов по целям (</w:t>
            </w:r>
            <w:r>
              <w:rPr>
                <w:sz w:val="28"/>
                <w:szCs w:val="28"/>
                <w:lang w:val="en-US"/>
              </w:rPr>
              <w:t>Twin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peaks</w:t>
            </w:r>
            <w:r>
              <w:rPr>
                <w:sz w:val="28"/>
                <w:szCs w:val="28"/>
              </w:rPr>
              <w:t>)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регулятор фондового рынка – центральный банк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регулятор фондового рынка – специальный орган регулирования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регулятор банков – центральный банк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регулятор банков – специальный орган регулирования</w:t>
            </w:r>
          </w:p>
          <w:p w:rsidR="006B729A" w:rsidRDefault="006B729A">
            <w:pPr>
              <w:widowControl w:val="0"/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B729A">
        <w:tc>
          <w:tcPr>
            <w:tcW w:w="4672" w:type="dxa"/>
          </w:tcPr>
          <w:p w:rsidR="006B729A" w:rsidRDefault="009F366D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S</w:t>
            </w:r>
            <w:r>
              <w:rPr>
                <w:sz w:val="28"/>
                <w:szCs w:val="28"/>
              </w:rPr>
              <w:t xml:space="preserve">: Какие виды допустимых активов в рамках 259-ФЗ (от 2020 года). 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ЦФА на денежные требования, 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Услуги и товары 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Права по эмиссионным ценным бумагам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Права требовать передачи эмиссионных ценных бумаг.</w:t>
            </w:r>
          </w:p>
        </w:tc>
        <w:tc>
          <w:tcPr>
            <w:tcW w:w="4671" w:type="dxa"/>
          </w:tcPr>
          <w:p w:rsidR="006B729A" w:rsidRDefault="009F366D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: Какие участники рынка ЦФА определены 259-ФЗ (от 2020 года). 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Операторы информационных систем 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Брокеры 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Биржи</w:t>
            </w:r>
          </w:p>
          <w:p w:rsidR="006B729A" w:rsidRDefault="009F36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Операторы обмена</w:t>
            </w:r>
          </w:p>
        </w:tc>
      </w:tr>
    </w:tbl>
    <w:p w:rsidR="006B729A" w:rsidRDefault="006B729A">
      <w:pPr>
        <w:snapToGrid w:val="0"/>
        <w:ind w:firstLine="709"/>
        <w:jc w:val="both"/>
        <w:rPr>
          <w:b/>
          <w:sz w:val="28"/>
          <w:szCs w:val="28"/>
        </w:rPr>
      </w:pPr>
    </w:p>
    <w:p w:rsidR="006B729A" w:rsidRDefault="006B729A">
      <w:pPr>
        <w:tabs>
          <w:tab w:val="left" w:pos="284"/>
          <w:tab w:val="left" w:pos="993"/>
        </w:tabs>
        <w:spacing w:line="276" w:lineRule="auto"/>
        <w:jc w:val="both"/>
        <w:rPr>
          <w:color w:val="000000"/>
          <w:sz w:val="28"/>
          <w:szCs w:val="28"/>
        </w:rPr>
      </w:pPr>
    </w:p>
    <w:p w:rsidR="006B729A" w:rsidRDefault="009F366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</w:t>
      </w:r>
      <w:r>
        <w:rPr>
          <w:rStyle w:val="af"/>
          <w:b/>
          <w:sz w:val="28"/>
          <w:szCs w:val="28"/>
        </w:rPr>
        <w:footnoteReference w:id="1"/>
      </w:r>
      <w:r>
        <w:rPr>
          <w:b/>
          <w:sz w:val="28"/>
          <w:szCs w:val="28"/>
        </w:rPr>
        <w:t>:</w:t>
      </w:r>
    </w:p>
    <w:p w:rsidR="006B729A" w:rsidRDefault="006B729A">
      <w:pPr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Федеральный закон от 26.12.1995 № 208-ФЗ «Об акционерных обществах» 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Федеральный закон от 22.04.1996 № 39-ФЗ «О рынке ценных бумаг».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Федеральный закон от 05.03.1999 № 46-ФЗ «О защите прав и законных интересов инвесторов на рынке ценных бумаг».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Федеральный закон от 29.11.2001 № 156-ФЗ «Об инвестиционных фондах».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ind w:left="799" w:hanging="357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Федеральный закон от 27.07.2010 No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Федерации». 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Федеральный закон от 21.11.2011 No 325-ФЗ «Об организованных торгах». 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Федеральный закон от 31.07.2020 N 259-ФЗ «О цифровых финансовых активах, цифровой валюте и о внесении изменений в отдельные законодательные акты Российской Федерации» 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Указание Банка России от 16.02.2015 № 3565-У «О видах производных финансовых инструментов».</w:t>
      </w:r>
    </w:p>
    <w:p w:rsidR="006B729A" w:rsidRDefault="009F366D">
      <w:pPr>
        <w:pStyle w:val="aff6"/>
        <w:numPr>
          <w:ilvl w:val="0"/>
          <w:numId w:val="3"/>
        </w:numPr>
        <w:tabs>
          <w:tab w:val="left" w:pos="851"/>
        </w:tabs>
        <w:spacing w:line="276" w:lineRule="auto"/>
        <w:contextualSpacing/>
      </w:pPr>
      <w:r>
        <w:rPr>
          <w:rFonts w:eastAsia="Times New Roman"/>
          <w:sz w:val="28"/>
          <w:szCs w:val="28"/>
          <w:lang w:val="ru-RU" w:eastAsia="ru-RU"/>
        </w:rPr>
        <w:t xml:space="preserve">Основные направления развития финансового рынка Российской Федерации на 2024 год и период 2025 и 2026 годов (Проект от 24.11.2023). </w:t>
      </w:r>
    </w:p>
    <w:p w:rsidR="006B729A" w:rsidRDefault="006B729A">
      <w:pPr>
        <w:pStyle w:val="aff6"/>
        <w:tabs>
          <w:tab w:val="left" w:pos="851"/>
        </w:tabs>
        <w:spacing w:line="276" w:lineRule="auto"/>
        <w:ind w:left="800" w:firstLine="0"/>
        <w:contextualSpacing/>
        <w:rPr>
          <w:rFonts w:eastAsia="Times New Roman"/>
          <w:sz w:val="28"/>
          <w:szCs w:val="28"/>
          <w:lang w:val="ru-RU" w:eastAsia="ru-RU"/>
        </w:rPr>
      </w:pPr>
    </w:p>
    <w:p w:rsidR="006B729A" w:rsidRDefault="006B729A">
      <w:pPr>
        <w:pStyle w:val="aff6"/>
        <w:tabs>
          <w:tab w:val="left" w:pos="851"/>
        </w:tabs>
        <w:spacing w:line="276" w:lineRule="auto"/>
        <w:ind w:left="800" w:firstLine="0"/>
        <w:contextualSpacing/>
        <w:rPr>
          <w:rFonts w:eastAsia="Times New Roman"/>
          <w:sz w:val="28"/>
          <w:szCs w:val="28"/>
          <w:lang w:val="ru-RU" w:eastAsia="ru-RU"/>
        </w:rPr>
      </w:pPr>
    </w:p>
    <w:p w:rsidR="006B729A" w:rsidRDefault="006B729A">
      <w:pPr>
        <w:pStyle w:val="aff6"/>
        <w:tabs>
          <w:tab w:val="left" w:pos="851"/>
        </w:tabs>
        <w:spacing w:line="276" w:lineRule="auto"/>
        <w:ind w:left="800" w:firstLine="0"/>
        <w:contextualSpacing/>
        <w:rPr>
          <w:rFonts w:eastAsia="Times New Roman"/>
          <w:sz w:val="28"/>
          <w:szCs w:val="28"/>
          <w:lang w:val="ru-RU" w:eastAsia="ru-RU"/>
        </w:rPr>
      </w:pPr>
    </w:p>
    <w:p w:rsidR="006B729A" w:rsidRDefault="009F366D">
      <w:pPr>
        <w:tabs>
          <w:tab w:val="right" w:pos="42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6B729A" w:rsidRDefault="006B729A">
      <w:pPr>
        <w:tabs>
          <w:tab w:val="right" w:pos="426"/>
        </w:tabs>
        <w:spacing w:line="276" w:lineRule="auto"/>
        <w:jc w:val="both"/>
        <w:rPr>
          <w:b/>
          <w:bCs/>
          <w:sz w:val="28"/>
          <w:szCs w:val="28"/>
        </w:rPr>
      </w:pPr>
      <w:bookmarkStart w:id="12" w:name="_Toc229455084"/>
      <w:bookmarkEnd w:id="12"/>
    </w:p>
    <w:p w:rsidR="006B729A" w:rsidRDefault="009F366D">
      <w:pPr>
        <w:pStyle w:val="aff6"/>
        <w:numPr>
          <w:ilvl w:val="0"/>
          <w:numId w:val="10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Современные финансовые рынки : учеб. для напр. магистратуры «Финансы и кредит» / К. Р. Адамова, Н. Е. Анненская, И. В. Бутурлин [и др.] ; под ред. К. В. Криничанского, Б. Б. Рубцова, А. А. Цыганова ; Финуниверситет. —Москва : КноРус, 2021. — 600 с. — ISBN 978-5-406-08409-0. — ЭБС BOOK.RU. — URL: https://book.ru/book/939989 (дата обращения: 12.01.2024). — Текст : электронный.</w:t>
      </w:r>
    </w:p>
    <w:p w:rsidR="006B729A" w:rsidRDefault="009F366D">
      <w:pPr>
        <w:pStyle w:val="aff6"/>
        <w:numPr>
          <w:ilvl w:val="0"/>
          <w:numId w:val="10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  <w:lang w:val="ru-RU" w:eastAsia="ru-RU"/>
        </w:rPr>
        <w:t>Международный финансовый рынок : учеб. и практикум для вузов /В. В. Антропов, И. А. Балюк, Т. В. Белянчикова [и др.] ; под общ. ред. М. А. Эскиндарова, Е. А. Звоновой. — Москва : Юрайт, 2024. — 430 с. — (Высшее образование). — ISBN 978-5-534-16871-6. — Образовательная платформа Юрайт. — URL: </w:t>
      </w:r>
      <w:hyperlink r:id="rId8" w:tgtFrame="_blank">
        <w:r>
          <w:rPr>
            <w:rFonts w:eastAsia="Times New Roman"/>
            <w:color w:val="486C97"/>
            <w:sz w:val="28"/>
            <w:szCs w:val="28"/>
            <w:u w:val="single"/>
            <w:bdr w:val="single" w:sz="2" w:space="0" w:color="E5E7EB"/>
            <w:shd w:val="clear" w:color="auto" w:fill="FFFFFF"/>
            <w:lang w:val="ru-RU" w:eastAsia="ru-RU"/>
          </w:rPr>
          <w:t>https://urait.ru/bcode/531937</w:t>
        </w:r>
      </w:hyperlink>
      <w:r>
        <w:rPr>
          <w:rFonts w:eastAsia="Times New Roman"/>
          <w:color w:val="000000"/>
          <w:sz w:val="28"/>
          <w:szCs w:val="28"/>
          <w:shd w:val="clear" w:color="auto" w:fill="FFFFFF"/>
          <w:lang w:val="ru-RU" w:eastAsia="ru-RU"/>
        </w:rPr>
        <w:t> (дата обращения: 12.01.2024). — Текст : электронный.</w:t>
      </w:r>
      <w:r>
        <w:rPr>
          <w:rFonts w:eastAsia="Times New Roman"/>
          <w:sz w:val="28"/>
          <w:szCs w:val="28"/>
          <w:lang w:val="ru-RU" w:eastAsia="ru-RU"/>
        </w:rPr>
        <w:t xml:space="preserve"> </w:t>
      </w:r>
    </w:p>
    <w:p w:rsidR="006B729A" w:rsidRDefault="009F366D">
      <w:pPr>
        <w:pStyle w:val="aff6"/>
        <w:numPr>
          <w:ilvl w:val="0"/>
          <w:numId w:val="10"/>
        </w:numPr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Блокчейн в платежных системах, цифровые финансовые активы и цифровые валюты : учеб. пособие для магистратуры / Т. Э. Рождественская, А. А. Ситник, Е. Г. Хоменко, И. В. Лагкуева ; под ред. Т. Э. Рождественской, А. А. Ситника. — Москва : Норма : ИНФРА-М, 2023. — 128 с. — ISBN 978-5-00156-171-2. — ЭБС </w:t>
      </w:r>
      <w:r>
        <w:rPr>
          <w:rFonts w:eastAsia="Times New Roman"/>
          <w:sz w:val="28"/>
          <w:szCs w:val="28"/>
          <w:lang w:val="en-US" w:eastAsia="ru-RU"/>
        </w:rPr>
        <w:t>Znanium</w:t>
      </w:r>
      <w:r>
        <w:rPr>
          <w:rFonts w:eastAsia="Times New Roman"/>
          <w:sz w:val="28"/>
          <w:szCs w:val="28"/>
          <w:lang w:val="ru-RU" w:eastAsia="ru-RU"/>
        </w:rPr>
        <w:t>. — URL: https://znanium.com/catalog/product/1996300 (дата обращения: 12.01.2024).</w:t>
      </w:r>
      <w:r>
        <w:t xml:space="preserve"> </w:t>
      </w:r>
      <w:r>
        <w:rPr>
          <w:rFonts w:eastAsia="Times New Roman"/>
          <w:sz w:val="28"/>
          <w:szCs w:val="28"/>
          <w:lang w:val="ru-RU" w:eastAsia="ru-RU"/>
        </w:rPr>
        <w:t>— Текст : электронный.</w:t>
      </w:r>
    </w:p>
    <w:p w:rsidR="006B729A" w:rsidRDefault="009F366D">
      <w:pPr>
        <w:pStyle w:val="aff4"/>
        <w:numPr>
          <w:ilvl w:val="0"/>
          <w:numId w:val="10"/>
        </w:numPr>
        <w:tabs>
          <w:tab w:val="left" w:pos="1134"/>
        </w:tabs>
        <w:jc w:val="both"/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Цифровая экономика: актуальные направления правового регулирования : науч.-практич. пособие / И. И. Кучеров, С. А. Синицын, С. Б. Нанба ; под ред. И. И. Кучерова, С. А. Синицына ; Институт законодательства и сравнит. правоведения. — Москва : Норма : ИЗиСП, 2023. — 376 с. — ISBN 978-5-00156-210-8. — ЭБС Znanium. — URL: https://znanium.com/catalog/product/2046015 (дата обращения: </w:t>
      </w:r>
      <w:bookmarkStart w:id="13" w:name="_Hlk155960696"/>
      <w:r>
        <w:rPr>
          <w:rFonts w:ascii="Times New Roman" w:eastAsia="Times New Roman" w:hAnsi="Times New Roman"/>
          <w:sz w:val="28"/>
          <w:szCs w:val="28"/>
          <w:lang w:val="ru-RU" w:eastAsia="ru-RU"/>
        </w:rPr>
        <w:t>12.01.2024</w:t>
      </w:r>
      <w:bookmarkEnd w:id="13"/>
      <w:r>
        <w:rPr>
          <w:rFonts w:ascii="Times New Roman" w:eastAsia="Times New Roman" w:hAnsi="Times New Roman"/>
          <w:sz w:val="28"/>
          <w:szCs w:val="28"/>
          <w:lang w:val="ru-RU" w:eastAsia="ru-RU"/>
        </w:rPr>
        <w:t>). — Текст : электронный.</w:t>
      </w:r>
    </w:p>
    <w:p w:rsidR="006B729A" w:rsidRDefault="006B729A">
      <w:pPr>
        <w:tabs>
          <w:tab w:val="left" w:pos="1134"/>
        </w:tabs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tabs>
          <w:tab w:val="left" w:pos="1134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6B729A" w:rsidRDefault="006B729A">
      <w:pPr>
        <w:tabs>
          <w:tab w:val="left" w:pos="1134"/>
        </w:tabs>
        <w:spacing w:line="276" w:lineRule="auto"/>
        <w:jc w:val="both"/>
        <w:rPr>
          <w:b/>
          <w:sz w:val="28"/>
          <w:szCs w:val="28"/>
        </w:rPr>
      </w:pPr>
    </w:p>
    <w:p w:rsidR="006B729A" w:rsidRDefault="009F366D">
      <w:pPr>
        <w:pStyle w:val="aff6"/>
        <w:numPr>
          <w:ilvl w:val="0"/>
          <w:numId w:val="11"/>
        </w:numPr>
        <w:tabs>
          <w:tab w:val="left" w:pos="851"/>
        </w:tabs>
        <w:spacing w:line="276" w:lineRule="auto"/>
        <w:ind w:left="567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Криничанский, К. В. Финансовые рынки и институты : монография / К. В. Криничанский, Н. Е. Анненская. — Москва : Русайнс, 2020. — 359 с. — ISBN 978-5-4365-5495-2. — ЭБС BOOK.RU. — URL: </w:t>
      </w:r>
      <w:r>
        <w:rPr>
          <w:rFonts w:eastAsia="Times New Roman"/>
          <w:sz w:val="28"/>
          <w:szCs w:val="28"/>
          <w:lang w:val="ru-RU" w:eastAsia="ru-RU"/>
        </w:rPr>
        <w:lastRenderedPageBreak/>
        <w:t xml:space="preserve">https://book.ru/book/938093 (дата обращения: </w:t>
      </w:r>
      <w:r>
        <w:rPr>
          <w:sz w:val="28"/>
          <w:szCs w:val="28"/>
        </w:rPr>
        <w:t>12.01.2024</w:t>
      </w:r>
      <w:r>
        <w:rPr>
          <w:rFonts w:eastAsia="Times New Roman"/>
          <w:sz w:val="28"/>
          <w:szCs w:val="28"/>
          <w:lang w:val="ru-RU" w:eastAsia="ru-RU"/>
        </w:rPr>
        <w:t xml:space="preserve">). — Текст : электронный. </w:t>
      </w:r>
    </w:p>
    <w:p w:rsidR="006B729A" w:rsidRDefault="009F366D">
      <w:pPr>
        <w:pStyle w:val="aff6"/>
        <w:numPr>
          <w:ilvl w:val="0"/>
          <w:numId w:val="11"/>
        </w:numPr>
        <w:tabs>
          <w:tab w:val="left" w:pos="851"/>
        </w:tabs>
        <w:spacing w:line="276" w:lineRule="auto"/>
        <w:ind w:left="567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Современные концепции финансового развития: теория и методология : монография / К. В. Криничанский, М. А. Абрамова, Н. А. Амосова [и др.] ; под ред. К. В. Криничанского. — Москва : КноРус, 2023. — 250 с. — ISBN 978-5-406-11938-9. — ЭБС BOOK.RU. — URL: https://book.ru/book/950318 (дата обращения:</w:t>
      </w:r>
      <w:r>
        <w:t xml:space="preserve"> </w:t>
      </w:r>
      <w:r>
        <w:rPr>
          <w:rFonts w:eastAsia="Times New Roman"/>
          <w:sz w:val="28"/>
          <w:szCs w:val="28"/>
          <w:lang w:val="ru-RU" w:eastAsia="ru-RU"/>
        </w:rPr>
        <w:t>12.01.2024). — Текст : электронный.</w:t>
      </w:r>
    </w:p>
    <w:p w:rsidR="006B729A" w:rsidRDefault="009F366D">
      <w:pPr>
        <w:pStyle w:val="aff6"/>
        <w:numPr>
          <w:ilvl w:val="0"/>
          <w:numId w:val="11"/>
        </w:numPr>
        <w:tabs>
          <w:tab w:val="left" w:pos="851"/>
        </w:tabs>
        <w:spacing w:line="276" w:lineRule="auto"/>
        <w:ind w:left="567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 xml:space="preserve">Рубцов Б. Б. Современные фондовые рынки. Москва.: Альпина Бизнес Букс, 2007. – 926 с. </w:t>
      </w:r>
      <w:r>
        <w:rPr>
          <w:sz w:val="28"/>
          <w:szCs w:val="28"/>
          <w:shd w:val="clear" w:color="auto" w:fill="F5F5F5"/>
        </w:rPr>
        <w:t>ISBN: 978-5-9614-0684-9</w:t>
      </w:r>
      <w:r>
        <w:rPr>
          <w:sz w:val="28"/>
          <w:szCs w:val="28"/>
          <w:shd w:val="clear" w:color="auto" w:fill="F5F5F5"/>
          <w:lang w:val="ru-RU"/>
        </w:rPr>
        <w:t>.</w:t>
      </w:r>
    </w:p>
    <w:p w:rsidR="006B729A" w:rsidRDefault="009F366D">
      <w:pPr>
        <w:pStyle w:val="aff6"/>
        <w:numPr>
          <w:ilvl w:val="0"/>
          <w:numId w:val="11"/>
        </w:numPr>
        <w:tabs>
          <w:tab w:val="left" w:pos="851"/>
        </w:tabs>
        <w:spacing w:line="276" w:lineRule="auto"/>
        <w:ind w:left="567"/>
        <w:contextualSpacing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ru-RU" w:eastAsia="ru-RU"/>
        </w:rPr>
        <w:t>Цифровые траектории экономики и финансов в XXI веке : монография / К. В. Криничанский, Б. Б. Рубцов, А. Е. Абрамов [и др.] ; под ред. К. В. Криничанского, Б. Б. Рубцова. — Москва : КноРус, 2023. — 231 с. — ISBN 978-5-406-11585-5. — ЭБС BOOK.RU. — URL: https://book.ru/book/949277 (дата обращения: 12.01.2024). — Текст : электронный.</w:t>
      </w:r>
    </w:p>
    <w:p w:rsidR="006B729A" w:rsidRDefault="009F366D">
      <w:pPr>
        <w:pStyle w:val="aff4"/>
        <w:numPr>
          <w:ilvl w:val="0"/>
          <w:numId w:val="11"/>
        </w:numPr>
        <w:tabs>
          <w:tab w:val="left" w:pos="851"/>
        </w:tabs>
        <w:ind w:left="567"/>
        <w:rPr>
          <w:rFonts w:eastAsia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</w:rPr>
        <w:t xml:space="preserve">Криничанский, К. В. Регулирование финансового сектора в повестке реформ экономической политики / Криничанский К. В., Рубцов Б. Б.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— Текст : электронный // Финансы: теория и практика. – 2022. – № 5. – С. 6-21.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— ЭБ Финуниверситета. — URL:  </w:t>
      </w:r>
      <w:hyperlink r:id="rId9">
        <w:r>
          <w:rPr>
            <w:rFonts w:ascii="Times New Roman" w:eastAsia="Times New Roman" w:hAnsi="Times New Roman"/>
            <w:sz w:val="28"/>
            <w:szCs w:val="28"/>
            <w:lang w:val="ru-RU" w:eastAsia="ru-RU"/>
          </w:rPr>
          <w:t>http://elib.fa.ru/art2022/bv1751.pdf</w:t>
        </w:r>
      </w:hyperlink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(дата обращения: 12.01.2024).</w:t>
      </w:r>
    </w:p>
    <w:p w:rsidR="006B729A" w:rsidRDefault="009F366D">
      <w:pPr>
        <w:pStyle w:val="aff4"/>
        <w:numPr>
          <w:ilvl w:val="0"/>
          <w:numId w:val="11"/>
        </w:numPr>
        <w:tabs>
          <w:tab w:val="left" w:pos="851"/>
        </w:tabs>
        <w:spacing w:after="0"/>
        <w:ind w:left="567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</w:rPr>
        <w:t>Рубцов, Б. Б. Существует ли наднациональная система регулирования финансового рынка? / Б. Б. Рубцов. 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— Текст : электронный // Финансы, деньги, инвестиции. — 2021. — № 3.  — С. 3–7. — ЭБ Финуниверситета. — URL:  http://elib.fa.ru/art2021/bv2345.pdf (дата обращения: 12.01.2024).</w:t>
      </w:r>
    </w:p>
    <w:p w:rsidR="006B729A" w:rsidRDefault="009F366D">
      <w:pPr>
        <w:pStyle w:val="aff6"/>
        <w:numPr>
          <w:ilvl w:val="0"/>
          <w:numId w:val="11"/>
        </w:numPr>
        <w:tabs>
          <w:tab w:val="left" w:pos="851"/>
        </w:tabs>
        <w:spacing w:line="276" w:lineRule="auto"/>
        <w:ind w:left="567"/>
        <w:contextualSpacing/>
      </w:pPr>
      <w:r>
        <w:rPr>
          <w:rFonts w:eastAsia="Times New Roman"/>
          <w:sz w:val="28"/>
          <w:szCs w:val="28"/>
          <w:lang w:val="ru-RU" w:eastAsia="ru-RU"/>
        </w:rPr>
        <w:t>Противодействие преступлениям, совершаемым в сфере оборота криптовалюты : учеб. пособие для студентов вузов, обуч. по напр. подгот. «Юриспрудеция» (квалиф. (степень) «магистр») / Е. А. Русскевич, А. В. Андреев, Д. В. Галиев [и др.]. — Москва : ИНФРА-М, 2024. — 211 с. — (Высшее образование: Магистратура). — ISBN 978-5-16-017725-0. — ЭБС Znanium. — URL: https://znanium.com/catalog/product/2115295 (дата обращения: 12.01.2024).</w:t>
      </w:r>
    </w:p>
    <w:p w:rsidR="006B729A" w:rsidRDefault="006B729A">
      <w:pPr>
        <w:pStyle w:val="aff6"/>
        <w:tabs>
          <w:tab w:val="left" w:pos="851"/>
        </w:tabs>
        <w:spacing w:line="276" w:lineRule="auto"/>
        <w:contextualSpacing/>
        <w:rPr>
          <w:rFonts w:eastAsia="Times New Roman"/>
          <w:sz w:val="28"/>
          <w:szCs w:val="28"/>
          <w:lang w:val="ru-RU" w:eastAsia="ru-RU"/>
        </w:rPr>
      </w:pPr>
      <w:bookmarkStart w:id="14" w:name="_Toc229455085"/>
      <w:bookmarkEnd w:id="14"/>
    </w:p>
    <w:p w:rsidR="006B729A" w:rsidRDefault="009F366D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B729A" w:rsidRDefault="006B729A">
      <w:pPr>
        <w:spacing w:line="276" w:lineRule="auto"/>
        <w:jc w:val="both"/>
        <w:rPr>
          <w:b/>
          <w:bCs/>
          <w:sz w:val="28"/>
          <w:szCs w:val="28"/>
        </w:rPr>
      </w:pP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Центрального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Банка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http://www.cbr.ru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Интернет-страница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агентства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Cbonds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http://www.cbonds.ru/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Группы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Биржа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http://moex.com/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Интернет- портал Trading View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— </w:t>
      </w:r>
      <w:hyperlink r:id="rId10">
        <w:r>
          <w:rPr>
            <w:rFonts w:ascii="Times New Roman" w:hAnsi="Times New Roman"/>
            <w:sz w:val="28"/>
            <w:szCs w:val="28"/>
          </w:rPr>
          <w:t>https://www.tradingview.com/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Официальный сайт Комиссии по ценным бумагам и биржам США - </w:t>
      </w:r>
      <w:hyperlink r:id="rId11">
        <w:r>
          <w:rPr>
            <w:rFonts w:ascii="Times New Roman" w:hAnsi="Times New Roman"/>
            <w:sz w:val="28"/>
            <w:szCs w:val="28"/>
            <w:lang w:val="ru-RU"/>
          </w:rPr>
          <w:t>https://www.sec.gov/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Официальный сайт </w:t>
      </w:r>
      <w:r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Служб</w:t>
      </w:r>
      <w:r>
        <w:rPr>
          <w:rFonts w:ascii="Times New Roman" w:hAnsi="Times New Roman"/>
          <w:color w:val="4D5156"/>
          <w:sz w:val="28"/>
          <w:szCs w:val="28"/>
          <w:shd w:val="clear" w:color="auto" w:fill="FFFFFF"/>
          <w:lang w:val="ru-RU"/>
        </w:rPr>
        <w:t>ы</w:t>
      </w:r>
      <w:r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 регулирования отрасли финансовых услуг</w:t>
      </w:r>
      <w:r>
        <w:rPr>
          <w:rFonts w:ascii="Times New Roman" w:hAnsi="Times New Roman"/>
          <w:color w:val="4D5156"/>
          <w:sz w:val="28"/>
          <w:szCs w:val="28"/>
          <w:shd w:val="clear" w:color="auto" w:fill="FFFFFF"/>
          <w:lang w:val="ru-RU"/>
        </w:rPr>
        <w:t xml:space="preserve"> США - https://www.finra.org/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Официальный сайт Европейского центрального банка - </w:t>
      </w:r>
      <w:hyperlink r:id="rId12">
        <w:r>
          <w:rPr>
            <w:rFonts w:ascii="Times New Roman" w:hAnsi="Times New Roman"/>
            <w:sz w:val="28"/>
            <w:szCs w:val="28"/>
            <w:lang w:val="ru-RU"/>
          </w:rPr>
          <w:t>https://www.ecb.europa.eu/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Официальный сайт Европейского банковского регулятора - </w:t>
      </w:r>
      <w:hyperlink r:id="rId13">
        <w:r>
          <w:rPr>
            <w:rFonts w:ascii="Times New Roman" w:hAnsi="Times New Roman"/>
            <w:sz w:val="28"/>
            <w:szCs w:val="28"/>
            <w:lang w:val="ru-RU"/>
          </w:rPr>
          <w:t>http://www.eba.europa.eu/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Официальный сайт Европейского регулятора фондового рынка - </w:t>
      </w:r>
      <w:hyperlink r:id="rId14">
        <w:r>
          <w:rPr>
            <w:rFonts w:ascii="Times New Roman" w:hAnsi="Times New Roman"/>
            <w:sz w:val="28"/>
            <w:szCs w:val="28"/>
            <w:lang w:val="ru-RU"/>
          </w:rPr>
          <w:t>http://www.esma.europa.eu/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Официальный сайт Международного валютного фонда - http://www.imf.org/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Официальный сайт Банка Международных расчетов - http://www.bis.org/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 xml:space="preserve"> са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>т Международно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 xml:space="preserve"> ассоциации рынк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</w:rPr>
        <w:t xml:space="preserve"> капитала ICMA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— </w:t>
      </w:r>
      <w:hyperlink r:id="rId15">
        <w:r>
          <w:rPr>
            <w:rFonts w:ascii="Times New Roman" w:hAnsi="Times New Roman"/>
            <w:sz w:val="28"/>
            <w:szCs w:val="28"/>
          </w:rPr>
          <w:t>https://www.icmagroup.org/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Официальный сайт Совета по финансовой стабильности - https://www.fsb.org/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 xml:space="preserve"> са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  <w:lang w:val="ru-RU"/>
        </w:rPr>
        <w:t>Международной организации комиссий по ценным бумагам</w:t>
      </w:r>
      <w:r>
        <w:rPr>
          <w:rFonts w:ascii="Times New Roman" w:hAnsi="Times New Roman"/>
          <w:sz w:val="28"/>
          <w:szCs w:val="28"/>
        </w:rPr>
        <w:t xml:space="preserve"> — </w:t>
      </w:r>
      <w:hyperlink r:id="rId16">
        <w:r>
          <w:rPr>
            <w:rFonts w:ascii="Times New Roman" w:hAnsi="Times New Roman"/>
            <w:sz w:val="28"/>
            <w:szCs w:val="28"/>
          </w:rPr>
          <w:t>https://www.iosco.org/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Официальный сайт Евразийской экономической комиссии - https://eec.eaeunion.org/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Научная электронная библиотека eLibrary.ru —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7">
        <w:r>
          <w:rPr>
            <w:rFonts w:ascii="Times New Roman" w:hAnsi="Times New Roman"/>
            <w:sz w:val="28"/>
            <w:szCs w:val="28"/>
          </w:rPr>
          <w:t>http://elibrary.ru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—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http://elib.fa.ru/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Электронно-библиотечная система BOOK.RU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— </w:t>
      </w:r>
      <w:hyperlink r:id="rId18">
        <w:r>
          <w:rPr>
            <w:rFonts w:ascii="Times New Roman" w:hAnsi="Times New Roman"/>
            <w:sz w:val="28"/>
            <w:szCs w:val="28"/>
          </w:rPr>
          <w:t>http://www.book.ru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Электронно-библиотечная система Znanium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— </w:t>
      </w:r>
      <w:hyperlink r:id="rId19">
        <w:r>
          <w:rPr>
            <w:rFonts w:ascii="Times New Roman" w:hAnsi="Times New Roman"/>
            <w:sz w:val="28"/>
            <w:szCs w:val="28"/>
          </w:rPr>
          <w:t>http://www.znanium.com</w:t>
        </w:r>
      </w:hyperlink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Электронно-библиотечная система издательства «ЮРАЙТ» —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https://urait.ru/ </w:t>
      </w:r>
    </w:p>
    <w:p w:rsidR="006B729A" w:rsidRDefault="009F366D">
      <w:pPr>
        <w:pStyle w:val="aff4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bookmarkStart w:id="15" w:name="_Hlk117352004"/>
      <w:bookmarkEnd w:id="15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Деловая онла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</w:rPr>
        <w:t>н-библиотека Alpina Digital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— http://lib.alpinadigital.ru/ </w:t>
      </w:r>
    </w:p>
    <w:p w:rsidR="006B729A" w:rsidRDefault="006B729A">
      <w:pPr>
        <w:tabs>
          <w:tab w:val="left" w:pos="993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6B729A" w:rsidRDefault="009F366D">
      <w:pPr>
        <w:spacing w:line="276" w:lineRule="auto"/>
        <w:jc w:val="both"/>
        <w:rPr>
          <w:b/>
          <w:sz w:val="28"/>
          <w:szCs w:val="28"/>
        </w:rPr>
      </w:pPr>
      <w:bookmarkStart w:id="16" w:name="_Toc8581442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6"/>
    </w:p>
    <w:p w:rsidR="006B729A" w:rsidRDefault="006B729A">
      <w:pPr>
        <w:spacing w:line="276" w:lineRule="auto"/>
        <w:jc w:val="both"/>
        <w:rPr>
          <w:sz w:val="28"/>
          <w:szCs w:val="28"/>
        </w:rPr>
      </w:pP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Методические указания для обучающихся по освоению дисциплины содержатся в приказе Финуниверситета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</w:t>
      </w:r>
    </w:p>
    <w:p w:rsidR="006B729A" w:rsidRDefault="006B729A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lastRenderedPageBreak/>
        <w:t xml:space="preserve">Преподавание дисциплины включает различные формы аудиторной и самостоятельной работы, среди которых следует выделить: </w:t>
      </w:r>
    </w:p>
    <w:p w:rsidR="006B729A" w:rsidRDefault="009F366D">
      <w:pPr>
        <w:pStyle w:val="aff7"/>
        <w:widowControl w:val="0"/>
        <w:numPr>
          <w:ilvl w:val="0"/>
          <w:numId w:val="5"/>
        </w:numPr>
        <w:snapToGrid w:val="0"/>
        <w:spacing w:beforeAutospacing="0" w:afterAutospacing="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лекционные занятия;</w:t>
      </w:r>
    </w:p>
    <w:p w:rsidR="006B729A" w:rsidRDefault="009F366D">
      <w:pPr>
        <w:pStyle w:val="aff7"/>
        <w:widowControl w:val="0"/>
        <w:numPr>
          <w:ilvl w:val="0"/>
          <w:numId w:val="5"/>
        </w:numPr>
        <w:snapToGrid w:val="0"/>
        <w:spacing w:beforeAutospacing="0" w:afterAutospacing="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семинарские (практические) занятия; </w:t>
      </w:r>
    </w:p>
    <w:p w:rsidR="006B729A" w:rsidRDefault="009F366D">
      <w:pPr>
        <w:pStyle w:val="aff7"/>
        <w:widowControl w:val="0"/>
        <w:numPr>
          <w:ilvl w:val="0"/>
          <w:numId w:val="5"/>
        </w:numPr>
        <w:snapToGrid w:val="0"/>
        <w:spacing w:beforeAutospacing="0" w:afterAutospacing="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контрольная работа. </w:t>
      </w: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b/>
          <w:bCs/>
          <w:kern w:val="2"/>
          <w:sz w:val="28"/>
          <w:szCs w:val="28"/>
          <w:lang w:eastAsia="en-US"/>
          <w14:ligatures w14:val="standardContextual"/>
        </w:rPr>
        <w:t>Лекционные занятия</w:t>
      </w: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 направлены на целостное, полное и логическое освоение вопросов, предусмотренных рабочей программой дисциплины. В ходе работы с лекциями у студентов должны быть сформированы методические подходы к изучению дисциплины и осуществлению самостоятельного исследования. Лекции проводятся в соответствии с учебно-тематическим планом дисциплины. </w:t>
      </w: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В зависимости от содержания темы предусматривается сочетание обзорных (направленных на систематизацию знаний и углубленное изучение вопросов, полученных в ходе освоения других дисциплин), предметных (содержащих основные положения дисциплины) и проблемных (раскрывающих дискуссионные точки зрения и проблемные вопросы) лекций. </w:t>
      </w: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b/>
          <w:bCs/>
          <w:kern w:val="2"/>
          <w:sz w:val="28"/>
          <w:szCs w:val="28"/>
          <w:lang w:eastAsia="en-US"/>
          <w14:ligatures w14:val="standardContextual"/>
        </w:rPr>
        <w:t>Семинарские (практические) занятия</w:t>
      </w: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 проводятся в соответствии с рабочим планом дисциплины и необходимы для закрепления и углубления знаний, полученных на лекциях и в ходе самостоятельной работы, а также для формирования умений выполнять практические задания, использовать типовые методики решения задач и иной инструментарий. Выделяются следующие этапы семинарского (практического) занятия:</w:t>
      </w:r>
    </w:p>
    <w:p w:rsidR="006B729A" w:rsidRDefault="009F366D">
      <w:pPr>
        <w:pStyle w:val="aff7"/>
        <w:widowControl w:val="0"/>
        <w:numPr>
          <w:ilvl w:val="0"/>
          <w:numId w:val="6"/>
        </w:numPr>
        <w:snapToGrid w:val="0"/>
        <w:spacing w:beforeAutospacing="0" w:afterAutospacing="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формулировка задачи занятия; </w:t>
      </w:r>
    </w:p>
    <w:p w:rsidR="006B729A" w:rsidRDefault="009F366D">
      <w:pPr>
        <w:pStyle w:val="aff7"/>
        <w:widowControl w:val="0"/>
        <w:numPr>
          <w:ilvl w:val="0"/>
          <w:numId w:val="6"/>
        </w:numPr>
        <w:snapToGrid w:val="0"/>
        <w:spacing w:beforeAutospacing="0" w:afterAutospacing="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работа по вопросам темы, утвержденным в плане семинарских и практических занятий, с применением предусмотренных технологий; </w:t>
      </w:r>
    </w:p>
    <w:p w:rsidR="006B729A" w:rsidRDefault="009F366D">
      <w:pPr>
        <w:pStyle w:val="aff7"/>
        <w:widowControl w:val="0"/>
        <w:numPr>
          <w:ilvl w:val="0"/>
          <w:numId w:val="6"/>
        </w:numPr>
        <w:snapToGrid w:val="0"/>
        <w:spacing w:beforeAutospacing="0" w:afterAutospacing="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обобщение результатов, оценка работы студентов, рекомендации по дальнейшему изучению темы дисциплины. </w:t>
      </w:r>
    </w:p>
    <w:p w:rsidR="006B729A" w:rsidRDefault="009F366D">
      <w:pPr>
        <w:pStyle w:val="aff7"/>
        <w:widowControl w:val="0"/>
        <w:snapToGrid w:val="0"/>
        <w:spacing w:beforeAutospacing="0" w:afterAutospacing="0"/>
        <w:ind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В зависимости от содержания темы дисциплины в ходе семинарского (практического) занятия предусматриваются устные ответы студентов на вопросы по теме занятия, выполнение тестовых заданий и разбор кейсов, обсуждение самостоятельных заданий. Разбор и анализ кейсов является одним из важнейших этапов работы и направлено на формирование навыков овладения методами оценки эффективности принимаемых решений и рисков, сопутствующих их принятию. Разбор кейсов позволяет выработать у студентов навыки количественной оценки возможных потерь в случае развития негативных сценариев и реализации риска, а также приобретение навыков использования необходимой нормативной правовой базы, делать выводы и формулировать алгоритм управленческого решения. </w:t>
      </w:r>
    </w:p>
    <w:p w:rsidR="006B729A" w:rsidRDefault="006B729A">
      <w:pPr>
        <w:pStyle w:val="afd"/>
        <w:ind w:left="1440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</w:p>
    <w:p w:rsidR="006B729A" w:rsidRDefault="009F366D">
      <w:pPr>
        <w:overflowPunct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6B729A" w:rsidRDefault="006B729A">
      <w:pPr>
        <w:overflowPunct w:val="0"/>
        <w:ind w:firstLine="709"/>
        <w:jc w:val="both"/>
        <w:textAlignment w:val="baseline"/>
        <w:rPr>
          <w:b/>
          <w:bCs/>
          <w:sz w:val="28"/>
          <w:szCs w:val="28"/>
          <w:lang w:eastAsia="ar-SA"/>
        </w:rPr>
      </w:pPr>
    </w:p>
    <w:p w:rsidR="006B729A" w:rsidRDefault="009F366D">
      <w:pPr>
        <w:widowControl w:val="0"/>
        <w:snapToGrid w:val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17" w:name="_Toc531686467"/>
      <w:bookmarkStart w:id="18" w:name="_Toc531614950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17"/>
      <w:bookmarkEnd w:id="18"/>
    </w:p>
    <w:p w:rsidR="006B729A" w:rsidRDefault="006B729A">
      <w:pPr>
        <w:widowControl w:val="0"/>
        <w:snapToGrid w:val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</w:p>
    <w:p w:rsidR="006B729A" w:rsidRPr="00D53DEF" w:rsidRDefault="009F366D">
      <w:pPr>
        <w:widowControl w:val="0"/>
        <w:snapToGrid w:val="0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r w:rsidRPr="00D53DEF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D53DEF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</w:p>
    <w:p w:rsidR="006B729A" w:rsidRPr="00D53DEF" w:rsidRDefault="009F366D">
      <w:pPr>
        <w:widowControl w:val="0"/>
        <w:snapToGrid w:val="0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r w:rsidRPr="00D53DEF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r w:rsidRPr="00D53DEF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53DEF">
        <w:rPr>
          <w:rFonts w:eastAsia="Calibri"/>
          <w:bCs/>
          <w:kern w:val="2"/>
          <w:sz w:val="28"/>
          <w:szCs w:val="28"/>
          <w:lang w:val="en-US"/>
        </w:rPr>
        <w:t>.</w:t>
      </w:r>
    </w:p>
    <w:p w:rsidR="006B729A" w:rsidRPr="00D53DEF" w:rsidRDefault="009F366D">
      <w:pPr>
        <w:widowControl w:val="0"/>
        <w:snapToGrid w:val="0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r w:rsidRPr="00D53DEF"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53DEF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r>
        <w:rPr>
          <w:rFonts w:eastAsia="Calibri"/>
          <w:bCs/>
          <w:kern w:val="2"/>
          <w:sz w:val="28"/>
          <w:szCs w:val="28"/>
          <w:lang w:val="en-US"/>
        </w:rPr>
        <w:t>spersky</w:t>
      </w:r>
    </w:p>
    <w:p w:rsidR="006B729A" w:rsidRPr="00D53DEF" w:rsidRDefault="006B729A">
      <w:pPr>
        <w:widowControl w:val="0"/>
        <w:snapToGrid w:val="0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</w:p>
    <w:p w:rsidR="006B729A" w:rsidRDefault="009F366D">
      <w:pPr>
        <w:widowControl w:val="0"/>
        <w:snapToGrid w:val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19" w:name="_Toc531686470"/>
      <w:bookmarkStart w:id="20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:rsidR="006B729A" w:rsidRDefault="006B729A">
      <w:pPr>
        <w:widowControl w:val="0"/>
        <w:snapToGrid w:val="0"/>
        <w:ind w:firstLine="709"/>
        <w:jc w:val="both"/>
        <w:rPr>
          <w:rFonts w:eastAsia="Calibri"/>
          <w:bCs/>
          <w:kern w:val="2"/>
          <w:sz w:val="28"/>
          <w:szCs w:val="28"/>
        </w:rPr>
      </w:pPr>
    </w:p>
    <w:p w:rsidR="006B729A" w:rsidRDefault="009F366D">
      <w:pPr>
        <w:pStyle w:val="aff4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:rsidR="006B729A" w:rsidRDefault="009F366D">
      <w:pPr>
        <w:pStyle w:val="aff4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Информационно-правовая система «Консультант Плюс»</w:t>
      </w:r>
    </w:p>
    <w:p w:rsidR="006B729A" w:rsidRDefault="009F366D">
      <w:pPr>
        <w:pStyle w:val="aff4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Style w:val="-"/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Система комплексного раскрытия информации «СКРИН» </w:t>
      </w:r>
      <w:hyperlink r:id="rId20">
        <w:r>
          <w:rPr>
            <w:rFonts w:ascii="Times New Roman" w:hAnsi="Times New Roman"/>
            <w:bCs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bCs/>
            <w:sz w:val="28"/>
            <w:szCs w:val="28"/>
          </w:rPr>
          <w:t>://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www</w:t>
        </w:r>
        <w:r>
          <w:rPr>
            <w:rFonts w:ascii="Times New Roman" w:hAnsi="Times New Roman"/>
            <w:bCs/>
            <w:sz w:val="28"/>
            <w:szCs w:val="28"/>
          </w:rPr>
          <w:t>.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skrin</w:t>
        </w:r>
        <w:r>
          <w:rPr>
            <w:rFonts w:ascii="Times New Roman" w:hAnsi="Times New Roman"/>
            <w:bCs/>
            <w:sz w:val="28"/>
            <w:szCs w:val="28"/>
          </w:rPr>
          <w:t>.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ru</w:t>
        </w:r>
        <w:r>
          <w:rPr>
            <w:rFonts w:ascii="Times New Roman" w:hAnsi="Times New Roman"/>
            <w:bCs/>
            <w:sz w:val="28"/>
            <w:szCs w:val="28"/>
          </w:rPr>
          <w:t>/</w:t>
        </w:r>
      </w:hyperlink>
    </w:p>
    <w:p w:rsidR="006B729A" w:rsidRDefault="009F366D">
      <w:pPr>
        <w:pStyle w:val="aff4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Информационно-аналитические терминалы и торговые системы: Qiuk/WebQiuk, TraidingView, РБК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Cbonds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729A" w:rsidRDefault="006B729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6B729A" w:rsidRDefault="009F366D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B729A" w:rsidRDefault="006B729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6B729A" w:rsidRDefault="009F366D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6B729A" w:rsidRDefault="006B729A">
      <w:pPr>
        <w:widowControl w:val="0"/>
        <w:ind w:firstLine="709"/>
        <w:jc w:val="both"/>
        <w:rPr>
          <w:bCs/>
          <w:sz w:val="28"/>
          <w:szCs w:val="28"/>
        </w:rPr>
      </w:pPr>
    </w:p>
    <w:p w:rsidR="006B729A" w:rsidRDefault="009F366D">
      <w:pPr>
        <w:overflowPunct w:val="0"/>
        <w:ind w:firstLine="709"/>
        <w:jc w:val="both"/>
        <w:textAlignment w:val="baseline"/>
        <w:rPr>
          <w:b/>
          <w:bCs/>
          <w:sz w:val="28"/>
          <w:szCs w:val="28"/>
          <w:lang w:eastAsia="ar-SA"/>
        </w:rPr>
      </w:pPr>
      <w:bookmarkStart w:id="21" w:name="_Toc85814431"/>
      <w:bookmarkStart w:id="22" w:name="_Toc9809462"/>
      <w:bookmarkStart w:id="23" w:name="_Toc519523371"/>
      <w:bookmarkStart w:id="24" w:name="_Toc511925813"/>
      <w:r>
        <w:rPr>
          <w:b/>
          <w:bCs/>
          <w:sz w:val="28"/>
          <w:szCs w:val="28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bookmarkEnd w:id="22"/>
      <w:bookmarkEnd w:id="23"/>
      <w:bookmarkEnd w:id="24"/>
    </w:p>
    <w:p w:rsidR="006B729A" w:rsidRDefault="006B729A">
      <w:pPr>
        <w:overflowPunct w:val="0"/>
        <w:ind w:firstLine="709"/>
        <w:jc w:val="both"/>
        <w:textAlignment w:val="baseline"/>
        <w:rPr>
          <w:b/>
          <w:sz w:val="28"/>
          <w:szCs w:val="28"/>
          <w:lang w:eastAsia="ar-SA"/>
        </w:rPr>
      </w:pPr>
    </w:p>
    <w:p w:rsidR="006B729A" w:rsidRDefault="009F366D">
      <w:pPr>
        <w:pStyle w:val="aff4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компьютерные классы с доступом в Интернет;</w:t>
      </w:r>
    </w:p>
    <w:p w:rsidR="006B729A" w:rsidRDefault="009F366D">
      <w:pPr>
        <w:pStyle w:val="aff4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аудитории, оборудованные мультимедийными средствами обучения;</w:t>
      </w:r>
    </w:p>
    <w:p w:rsidR="006B729A" w:rsidRDefault="009F366D">
      <w:pPr>
        <w:pStyle w:val="aff4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доступ к современным информационным системам.</w:t>
      </w:r>
    </w:p>
    <w:p w:rsidR="006B729A" w:rsidRDefault="009F366D">
      <w:pPr>
        <w:pStyle w:val="aff4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персональны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 компьютер (возможно использование студентами собственных компьютеров и других электронных устро</w:t>
      </w:r>
      <w:r>
        <w:rPr>
          <w:rFonts w:ascii="Times New Roman" w:hAnsi="Times New Roman"/>
          <w:bCs/>
          <w:sz w:val="28"/>
          <w:szCs w:val="28"/>
          <w:lang w:val="ru-RU"/>
        </w:rPr>
        <w:t>йств</w:t>
      </w:r>
      <w:r>
        <w:rPr>
          <w:rFonts w:ascii="Times New Roman" w:hAnsi="Times New Roman"/>
          <w:bCs/>
          <w:sz w:val="28"/>
          <w:szCs w:val="28"/>
        </w:rPr>
        <w:t xml:space="preserve"> при условии организации интерактивно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 коммуникации средствами MS OneNote и использования облачных сервисов хранения данных – Dropbox, Google Drive и т.д.); </w:t>
      </w:r>
    </w:p>
    <w:p w:rsidR="006B729A" w:rsidRDefault="009F366D">
      <w:pPr>
        <w:pStyle w:val="aff4"/>
        <w:widowControl w:val="0"/>
        <w:numPr>
          <w:ilvl w:val="0"/>
          <w:numId w:val="7"/>
        </w:numPr>
        <w:tabs>
          <w:tab w:val="left" w:pos="851"/>
        </w:tabs>
        <w:overflowPunct w:val="0"/>
        <w:spacing w:after="0" w:line="240" w:lineRule="auto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</w:rPr>
        <w:t>торговы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 терминал Qiuk/WebQiuk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Алор и др.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sectPr w:rsidR="006B729A">
      <w:pgSz w:w="11906" w:h="16838"/>
      <w:pgMar w:top="1134" w:right="991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B2" w:rsidRDefault="006A72B2">
      <w:r>
        <w:separator/>
      </w:r>
    </w:p>
  </w:endnote>
  <w:endnote w:type="continuationSeparator" w:id="0">
    <w:p w:rsidR="006A72B2" w:rsidRDefault="006A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ont298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 Sans">
    <w:panose1 w:val="00000000000000000000"/>
    <w:charset w:val="00"/>
    <w:family w:val="roman"/>
    <w:notTrueType/>
    <w:pitch w:val="default"/>
  </w:font>
  <w:font w:name="Hiragino Kaku Gothic Std W8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panose1 w:val="00000000000000000000"/>
    <w:charset w:val="00"/>
    <w:family w:val="roman"/>
    <w:notTrueType/>
    <w:pitch w:val="default"/>
  </w:font>
  <w:font w:name="TimesNewRomanPSMT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B2" w:rsidRDefault="006A72B2">
      <w:pPr>
        <w:rPr>
          <w:sz w:val="12"/>
        </w:rPr>
      </w:pPr>
      <w:r>
        <w:separator/>
      </w:r>
    </w:p>
  </w:footnote>
  <w:footnote w:type="continuationSeparator" w:id="0">
    <w:p w:rsidR="006A72B2" w:rsidRDefault="006A72B2">
      <w:pPr>
        <w:rPr>
          <w:sz w:val="12"/>
        </w:rPr>
      </w:pPr>
      <w:r>
        <w:continuationSeparator/>
      </w:r>
    </w:p>
  </w:footnote>
  <w:footnote w:id="1">
    <w:p w:rsidR="006B729A" w:rsidRDefault="009F366D">
      <w:pPr>
        <w:pStyle w:val="aff7"/>
        <w:spacing w:before="280" w:after="280"/>
      </w:pPr>
      <w:r>
        <w:rPr>
          <w:rStyle w:val="af9"/>
        </w:rPr>
        <w:footnoteRef/>
      </w:r>
      <w:r>
        <w:t xml:space="preserve"> </w:t>
      </w:r>
      <w:r>
        <w:rPr>
          <w:rFonts w:ascii="TimesNewRomanPSMT" w:hAnsi="TimesNewRomanPSMT"/>
          <w:sz w:val="20"/>
          <w:szCs w:val="20"/>
        </w:rPr>
        <w:t>Нормативно-правовые акты см. с последующими изменениями и дополнениями. Источник: Справочно-правовая система КонсультантПлюс, ТехнологияПроф.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0260"/>
    <w:multiLevelType w:val="multilevel"/>
    <w:tmpl w:val="994802B6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" w15:restartNumberingAfterBreak="0">
    <w:nsid w:val="0F7F2F37"/>
    <w:multiLevelType w:val="multilevel"/>
    <w:tmpl w:val="1B641FD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7A3C79"/>
    <w:multiLevelType w:val="multilevel"/>
    <w:tmpl w:val="3B406E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8847B1B"/>
    <w:multiLevelType w:val="multilevel"/>
    <w:tmpl w:val="1F80F0E6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2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5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2F60EF"/>
    <w:multiLevelType w:val="multilevel"/>
    <w:tmpl w:val="0D4C80C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E11707"/>
    <w:multiLevelType w:val="multilevel"/>
    <w:tmpl w:val="4D6ED940"/>
    <w:lvl w:ilvl="0">
      <w:start w:val="1"/>
      <w:numFmt w:val="decimal"/>
      <w:lvlText w:val="%1."/>
      <w:lvlJc w:val="left"/>
      <w:pPr>
        <w:tabs>
          <w:tab w:val="num" w:pos="0"/>
        </w:tabs>
        <w:ind w:left="1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0" w:hanging="180"/>
      </w:pPr>
    </w:lvl>
  </w:abstractNum>
  <w:abstractNum w:abstractNumId="6" w15:restartNumberingAfterBreak="0">
    <w:nsid w:val="355D77FF"/>
    <w:multiLevelType w:val="multilevel"/>
    <w:tmpl w:val="629204B2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007A29"/>
    <w:multiLevelType w:val="multilevel"/>
    <w:tmpl w:val="979A741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8" w15:restartNumberingAfterBreak="0">
    <w:nsid w:val="43E97B87"/>
    <w:multiLevelType w:val="multilevel"/>
    <w:tmpl w:val="6B66AC6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124B76"/>
    <w:multiLevelType w:val="multilevel"/>
    <w:tmpl w:val="436E49E8"/>
    <w:lvl w:ilvl="0">
      <w:start w:val="1"/>
      <w:numFmt w:val="decimal"/>
      <w:lvlText w:val="%1."/>
      <w:lvlJc w:val="left"/>
      <w:pPr>
        <w:tabs>
          <w:tab w:val="num" w:pos="0"/>
        </w:tabs>
        <w:ind w:left="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60" w:hanging="180"/>
      </w:pPr>
    </w:lvl>
  </w:abstractNum>
  <w:abstractNum w:abstractNumId="10" w15:restartNumberingAfterBreak="0">
    <w:nsid w:val="543E251B"/>
    <w:multiLevelType w:val="multilevel"/>
    <w:tmpl w:val="8D8CA050"/>
    <w:lvl w:ilvl="0">
      <w:start w:val="1"/>
      <w:numFmt w:val="decimal"/>
      <w:lvlText w:val="%1."/>
      <w:lvlJc w:val="left"/>
      <w:pPr>
        <w:tabs>
          <w:tab w:val="num" w:pos="0"/>
        </w:tabs>
        <w:ind w:left="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60" w:hanging="180"/>
      </w:pPr>
    </w:lvl>
  </w:abstractNum>
  <w:abstractNum w:abstractNumId="11" w15:restartNumberingAfterBreak="0">
    <w:nsid w:val="55531160"/>
    <w:multiLevelType w:val="multilevel"/>
    <w:tmpl w:val="95E87964"/>
    <w:lvl w:ilvl="0">
      <w:start w:val="1"/>
      <w:numFmt w:val="decimal"/>
      <w:lvlText w:val="%1."/>
      <w:lvlJc w:val="left"/>
      <w:pPr>
        <w:tabs>
          <w:tab w:val="num" w:pos="0"/>
        </w:tabs>
        <w:ind w:left="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60" w:hanging="180"/>
      </w:pPr>
    </w:lvl>
  </w:abstractNum>
  <w:abstractNum w:abstractNumId="12" w15:restartNumberingAfterBreak="0">
    <w:nsid w:val="79241BA7"/>
    <w:multiLevelType w:val="multilevel"/>
    <w:tmpl w:val="0F56B7AA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formatting="1" w:enforcement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29A"/>
    <w:rsid w:val="00214A3C"/>
    <w:rsid w:val="006A72B2"/>
    <w:rsid w:val="006B729A"/>
    <w:rsid w:val="009F366D"/>
    <w:rsid w:val="00D2149F"/>
    <w:rsid w:val="00D5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A698"/>
  <w15:docId w15:val="{305B9D94-F156-4510-8240-84EF5671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B6A21"/>
    <w:rPr>
      <w:sz w:val="24"/>
      <w:szCs w:val="24"/>
    </w:rPr>
  </w:style>
  <w:style w:type="paragraph" w:styleId="1">
    <w:name w:val="heading 1"/>
    <w:basedOn w:val="a1"/>
    <w:next w:val="a1"/>
    <w:qFormat/>
    <w:rsid w:val="003E391C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1"/>
    <w:next w:val="a1"/>
    <w:semiHidden/>
    <w:unhideWhenUsed/>
    <w:qFormat/>
    <w:rsid w:val="00A93C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B6168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qFormat/>
    <w:rsid w:val="00F5696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B616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qFormat/>
    <w:rsid w:val="004576F3"/>
    <w:rPr>
      <w:b/>
      <w:bCs/>
      <w:i w:val="0"/>
      <w:iCs w:val="0"/>
    </w:rPr>
  </w:style>
  <w:style w:type="character" w:customStyle="1" w:styleId="-">
    <w:name w:val="Интернет-ссылка"/>
    <w:rsid w:val="0063352E"/>
    <w:rPr>
      <w:color w:val="212063"/>
      <w:u w:val="single"/>
    </w:rPr>
  </w:style>
  <w:style w:type="character" w:customStyle="1" w:styleId="a6">
    <w:name w:val="Посещённая гиперссылка"/>
    <w:rsid w:val="00980E18"/>
    <w:rPr>
      <w:color w:val="800080"/>
      <w:u w:val="single"/>
    </w:rPr>
  </w:style>
  <w:style w:type="character" w:styleId="HTML">
    <w:name w:val="HTML Cite"/>
    <w:uiPriority w:val="99"/>
    <w:qFormat/>
    <w:rsid w:val="00000F80"/>
    <w:rPr>
      <w:i/>
      <w:iCs/>
    </w:rPr>
  </w:style>
  <w:style w:type="character" w:styleId="a7">
    <w:name w:val="page number"/>
    <w:basedOn w:val="a2"/>
    <w:qFormat/>
    <w:rsid w:val="00000F80"/>
  </w:style>
  <w:style w:type="character" w:customStyle="1" w:styleId="30">
    <w:name w:val="Заголовок 3 Знак"/>
    <w:link w:val="3"/>
    <w:qFormat/>
    <w:rsid w:val="00B6168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qFormat/>
    <w:rsid w:val="00B616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8">
    <w:name w:val="Заголовок Знак"/>
    <w:qFormat/>
    <w:rsid w:val="00B61683"/>
    <w:rPr>
      <w:b/>
      <w:sz w:val="32"/>
    </w:rPr>
  </w:style>
  <w:style w:type="character" w:customStyle="1" w:styleId="31">
    <w:name w:val="Основной текст с отступом 3 Знак"/>
    <w:link w:val="31"/>
    <w:qFormat/>
    <w:rsid w:val="001A00F2"/>
    <w:rPr>
      <w:sz w:val="16"/>
      <w:szCs w:val="16"/>
    </w:rPr>
  </w:style>
  <w:style w:type="character" w:customStyle="1" w:styleId="a9">
    <w:name w:val="Основной текст с отступом Знак"/>
    <w:uiPriority w:val="99"/>
    <w:qFormat/>
    <w:rsid w:val="001A00F2"/>
    <w:rPr>
      <w:rFonts w:ascii="Arial" w:hAnsi="Arial" w:cs="Arial"/>
      <w:sz w:val="24"/>
      <w:szCs w:val="28"/>
    </w:rPr>
  </w:style>
  <w:style w:type="character" w:styleId="aa">
    <w:name w:val="Strong"/>
    <w:uiPriority w:val="22"/>
    <w:qFormat/>
    <w:rsid w:val="002F4C0E"/>
    <w:rPr>
      <w:b/>
      <w:bCs/>
    </w:rPr>
  </w:style>
  <w:style w:type="character" w:customStyle="1" w:styleId="ab">
    <w:name w:val="Текст сноски Знак"/>
    <w:uiPriority w:val="99"/>
    <w:qFormat/>
    <w:rsid w:val="002F4C0E"/>
    <w:rPr>
      <w:rFonts w:eastAsia="Calibri"/>
    </w:rPr>
  </w:style>
  <w:style w:type="character" w:customStyle="1" w:styleId="Aeiannueea">
    <w:name w:val="Aeia.nnueea"/>
    <w:qFormat/>
    <w:rsid w:val="00A02CFC"/>
    <w:rPr>
      <w:color w:val="000000"/>
      <w:sz w:val="28"/>
      <w:szCs w:val="28"/>
    </w:rPr>
  </w:style>
  <w:style w:type="character" w:customStyle="1" w:styleId="20">
    <w:name w:val="Основной текст с отступом 2 Знак"/>
    <w:link w:val="21"/>
    <w:qFormat/>
    <w:rsid w:val="003062AD"/>
    <w:rPr>
      <w:rFonts w:ascii="Calibri" w:hAnsi="Calibri"/>
      <w:sz w:val="22"/>
      <w:szCs w:val="22"/>
      <w:lang w:val="en-US" w:eastAsia="en-US" w:bidi="en-US"/>
    </w:rPr>
  </w:style>
  <w:style w:type="character" w:customStyle="1" w:styleId="21">
    <w:name w:val="Заголовок 2 Знак"/>
    <w:link w:val="20"/>
    <w:semiHidden/>
    <w:qFormat/>
    <w:rsid w:val="00A93C2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c">
    <w:name w:val="Нижний колонтитул Знак"/>
    <w:uiPriority w:val="99"/>
    <w:qFormat/>
    <w:rsid w:val="00E91CB5"/>
    <w:rPr>
      <w:sz w:val="24"/>
      <w:szCs w:val="24"/>
    </w:rPr>
  </w:style>
  <w:style w:type="character" w:customStyle="1" w:styleId="ad">
    <w:name w:val="по центру Знак"/>
    <w:link w:val="16pt"/>
    <w:qFormat/>
    <w:locked/>
    <w:rsid w:val="00605A76"/>
    <w:rPr>
      <w:sz w:val="32"/>
      <w:szCs w:val="24"/>
    </w:rPr>
  </w:style>
  <w:style w:type="character" w:customStyle="1" w:styleId="ae">
    <w:name w:val="Абзац списка Знак"/>
    <w:uiPriority w:val="1"/>
    <w:qFormat/>
    <w:rsid w:val="00D56EB0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252BB"/>
    <w:rPr>
      <w:vertAlign w:val="superscript"/>
    </w:rPr>
  </w:style>
  <w:style w:type="character" w:customStyle="1" w:styleId="22">
    <w:name w:val="Основной текст 2 Знак"/>
    <w:link w:val="23"/>
    <w:qFormat/>
    <w:rsid w:val="00E31346"/>
    <w:rPr>
      <w:sz w:val="24"/>
      <w:szCs w:val="24"/>
    </w:rPr>
  </w:style>
  <w:style w:type="character" w:customStyle="1" w:styleId="BodytextBold">
    <w:name w:val="Body text + Bold"/>
    <w:qFormat/>
    <w:rsid w:val="00C37E4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qFormat/>
    <w:rsid w:val="00E5057E"/>
  </w:style>
  <w:style w:type="character" w:styleId="af0">
    <w:name w:val="annotation reference"/>
    <w:unhideWhenUsed/>
    <w:qFormat/>
    <w:rsid w:val="004129C4"/>
    <w:rPr>
      <w:sz w:val="16"/>
      <w:szCs w:val="16"/>
    </w:rPr>
  </w:style>
  <w:style w:type="character" w:customStyle="1" w:styleId="af1">
    <w:name w:val="Текст примечания Знак"/>
    <w:qFormat/>
    <w:rsid w:val="004129C4"/>
    <w:rPr>
      <w:rFonts w:ascii="Calibri" w:hAnsi="Calibri"/>
      <w:lang w:eastAsia="en-US"/>
    </w:rPr>
  </w:style>
  <w:style w:type="character" w:customStyle="1" w:styleId="af2">
    <w:name w:val="Основной текст Знак"/>
    <w:qFormat/>
    <w:rsid w:val="00F902A5"/>
    <w:rPr>
      <w:sz w:val="36"/>
    </w:rPr>
  </w:style>
  <w:style w:type="character" w:customStyle="1" w:styleId="af3">
    <w:name w:val="текст Знак"/>
    <w:qFormat/>
    <w:locked/>
    <w:rsid w:val="00673F2F"/>
    <w:rPr>
      <w:rFonts w:eastAsia="Calibri"/>
      <w:sz w:val="28"/>
      <w:szCs w:val="28"/>
      <w:lang w:bidi="ar-SA"/>
    </w:rPr>
  </w:style>
  <w:style w:type="character" w:customStyle="1" w:styleId="ListParagraphChar1">
    <w:name w:val="List Paragraph Char1"/>
    <w:link w:val="10"/>
    <w:qFormat/>
    <w:locked/>
    <w:rsid w:val="00673F2F"/>
    <w:rPr>
      <w:rFonts w:ascii="Calibri" w:hAnsi="Calibri"/>
      <w:sz w:val="22"/>
      <w:szCs w:val="22"/>
      <w:lang w:eastAsia="en-US"/>
    </w:rPr>
  </w:style>
  <w:style w:type="character" w:customStyle="1" w:styleId="af4">
    <w:name w:val="Тема примечания Знак"/>
    <w:qFormat/>
    <w:rsid w:val="007B06FE"/>
    <w:rPr>
      <w:rFonts w:ascii="Calibri" w:hAnsi="Calibri"/>
      <w:b/>
      <w:bCs/>
      <w:lang w:eastAsia="en-US"/>
    </w:rPr>
  </w:style>
  <w:style w:type="character" w:customStyle="1" w:styleId="23">
    <w:name w:val="Текст сноски Знак2"/>
    <w:link w:val="22"/>
    <w:qFormat/>
    <w:locked/>
    <w:rsid w:val="00EF7B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ет"/>
    <w:qFormat/>
    <w:rsid w:val="00F73935"/>
  </w:style>
  <w:style w:type="character" w:customStyle="1" w:styleId="af6">
    <w:name w:val="Текст Знак"/>
    <w:qFormat/>
    <w:rsid w:val="007201C6"/>
    <w:rPr>
      <w:rFonts w:ascii="Courier New" w:eastAsia="Calibri" w:hAnsi="Courier New"/>
      <w:sz w:val="20"/>
      <w:szCs w:val="20"/>
      <w:lang w:val="x-none"/>
    </w:rPr>
  </w:style>
  <w:style w:type="character" w:customStyle="1" w:styleId="af7">
    <w:name w:val="Верхний колонтитул Знак"/>
    <w:uiPriority w:val="99"/>
    <w:qFormat/>
    <w:rsid w:val="00021FF6"/>
    <w:rPr>
      <w:sz w:val="24"/>
      <w:szCs w:val="24"/>
    </w:rPr>
  </w:style>
  <w:style w:type="character" w:customStyle="1" w:styleId="11">
    <w:name w:val="Неразрешенное упоминание1"/>
    <w:uiPriority w:val="99"/>
    <w:semiHidden/>
    <w:unhideWhenUsed/>
    <w:qFormat/>
    <w:rsid w:val="005F7E00"/>
    <w:rPr>
      <w:color w:val="605E5C"/>
      <w:shd w:val="clear" w:color="auto" w:fill="E1DFDD"/>
    </w:rPr>
  </w:style>
  <w:style w:type="character" w:customStyle="1" w:styleId="z-">
    <w:name w:val="z-Начало формы Знак"/>
    <w:uiPriority w:val="99"/>
    <w:semiHidden/>
    <w:qFormat/>
    <w:rsid w:val="00F464A0"/>
    <w:rPr>
      <w:rFonts w:ascii="Arial" w:hAnsi="Arial" w:cs="Arial"/>
      <w:vanish/>
      <w:sz w:val="16"/>
      <w:szCs w:val="16"/>
    </w:rPr>
  </w:style>
  <w:style w:type="character" w:customStyle="1" w:styleId="translate-textareawrap">
    <w:name w:val="translate-textareawrap"/>
    <w:qFormat/>
    <w:rsid w:val="00F464A0"/>
  </w:style>
  <w:style w:type="character" w:customStyle="1" w:styleId="z-0">
    <w:name w:val="z-Конец формы Знак"/>
    <w:uiPriority w:val="99"/>
    <w:semiHidden/>
    <w:qFormat/>
    <w:rsid w:val="00F464A0"/>
    <w:rPr>
      <w:rFonts w:ascii="Arial" w:hAnsi="Arial" w:cs="Arial"/>
      <w:vanish/>
      <w:sz w:val="16"/>
      <w:szCs w:val="16"/>
    </w:rPr>
  </w:style>
  <w:style w:type="character" w:customStyle="1" w:styleId="Normal14">
    <w:name w:val="Normal 14 Знак"/>
    <w:link w:val="Normal14"/>
    <w:qFormat/>
    <w:rsid w:val="006F2EDC"/>
    <w:rPr>
      <w:sz w:val="28"/>
      <w:szCs w:val="28"/>
    </w:rPr>
  </w:style>
  <w:style w:type="character" w:customStyle="1" w:styleId="FontStyle11">
    <w:name w:val="Font Style11"/>
    <w:qFormat/>
    <w:rsid w:val="008F7A1B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8F7A1B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8F7A1B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8F7A1B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8">
    <w:name w:val="Подзаголовок Знак"/>
    <w:uiPriority w:val="11"/>
    <w:qFormat/>
    <w:rsid w:val="00C04457"/>
    <w:rPr>
      <w:rFonts w:ascii="Calibri" w:hAnsi="Calibri"/>
      <w:color w:val="5A5A5A"/>
      <w:spacing w:val="15"/>
      <w:sz w:val="22"/>
      <w:szCs w:val="22"/>
    </w:rPr>
  </w:style>
  <w:style w:type="character" w:customStyle="1" w:styleId="UnresolvedMention">
    <w:name w:val="Unresolved Mention"/>
    <w:basedOn w:val="a2"/>
    <w:uiPriority w:val="99"/>
    <w:semiHidden/>
    <w:unhideWhenUsed/>
    <w:qFormat/>
    <w:rsid w:val="00A91080"/>
    <w:rPr>
      <w:color w:val="605E5C"/>
      <w:shd w:val="clear" w:color="auto" w:fill="E1DFDD"/>
    </w:rPr>
  </w:style>
  <w:style w:type="character" w:customStyle="1" w:styleId="books-listname">
    <w:name w:val="books-list__name"/>
    <w:basedOn w:val="a2"/>
    <w:qFormat/>
    <w:rsid w:val="00ED2E96"/>
  </w:style>
  <w:style w:type="character" w:customStyle="1" w:styleId="af9">
    <w:name w:val="Символ сноски"/>
    <w:qFormat/>
  </w:style>
  <w:style w:type="character" w:customStyle="1" w:styleId="afa">
    <w:name w:val="Привязка концевой сноски"/>
    <w:rPr>
      <w:vertAlign w:val="superscript"/>
    </w:rPr>
  </w:style>
  <w:style w:type="character" w:customStyle="1" w:styleId="afb">
    <w:name w:val="Символ концевой сноски"/>
    <w:qFormat/>
  </w:style>
  <w:style w:type="paragraph" w:styleId="afc">
    <w:name w:val="Title"/>
    <w:basedOn w:val="a1"/>
    <w:next w:val="afd"/>
    <w:qFormat/>
    <w:rsid w:val="00B61683"/>
    <w:pPr>
      <w:jc w:val="center"/>
    </w:pPr>
    <w:rPr>
      <w:b/>
      <w:sz w:val="32"/>
      <w:szCs w:val="20"/>
      <w:lang w:val="x-none" w:eastAsia="x-none"/>
    </w:rPr>
  </w:style>
  <w:style w:type="paragraph" w:styleId="afd">
    <w:name w:val="Body Text"/>
    <w:basedOn w:val="a1"/>
    <w:rsid w:val="00027071"/>
    <w:rPr>
      <w:sz w:val="36"/>
      <w:szCs w:val="20"/>
    </w:rPr>
  </w:style>
  <w:style w:type="paragraph" w:styleId="afe">
    <w:name w:val="List"/>
    <w:basedOn w:val="afd"/>
    <w:rPr>
      <w:rFonts w:ascii="PT Astra Serif" w:hAnsi="PT Astra Serif" w:cs="Noto Sans Devanagari"/>
    </w:rPr>
  </w:style>
  <w:style w:type="paragraph" w:styleId="aff">
    <w:name w:val="caption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0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1">
    <w:name w:val="Верхний и нижний колонтитулы"/>
    <w:basedOn w:val="a1"/>
    <w:qFormat/>
  </w:style>
  <w:style w:type="paragraph" w:styleId="aff2">
    <w:name w:val="footer"/>
    <w:basedOn w:val="a1"/>
    <w:uiPriority w:val="99"/>
    <w:rsid w:val="00000F80"/>
    <w:pPr>
      <w:tabs>
        <w:tab w:val="center" w:pos="4677"/>
        <w:tab w:val="right" w:pos="9355"/>
      </w:tabs>
    </w:pPr>
    <w:rPr>
      <w:lang w:val="x-none" w:eastAsia="x-none"/>
    </w:rPr>
  </w:style>
  <w:style w:type="paragraph" w:styleId="12">
    <w:name w:val="toc 1"/>
    <w:basedOn w:val="a1"/>
    <w:next w:val="a1"/>
    <w:autoRedefine/>
    <w:semiHidden/>
    <w:rsid w:val="003E391C"/>
  </w:style>
  <w:style w:type="paragraph" w:styleId="aff3">
    <w:name w:val="Balloon Text"/>
    <w:basedOn w:val="a1"/>
    <w:semiHidden/>
    <w:qFormat/>
    <w:rsid w:val="00BF360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1"/>
    <w:next w:val="a1"/>
    <w:semiHidden/>
    <w:qFormat/>
    <w:rsid w:val="00CE6BE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310">
    <w:name w:val="Основной текст 31"/>
    <w:basedOn w:val="a1"/>
    <w:qFormat/>
    <w:rsid w:val="00B61683"/>
    <w:pPr>
      <w:overflowPunct w:val="0"/>
      <w:jc w:val="both"/>
      <w:textAlignment w:val="baseline"/>
    </w:pPr>
    <w:rPr>
      <w:szCs w:val="20"/>
    </w:rPr>
  </w:style>
  <w:style w:type="paragraph" w:styleId="aff4">
    <w:name w:val="List Paragraph"/>
    <w:basedOn w:val="a1"/>
    <w:uiPriority w:val="1"/>
    <w:qFormat/>
    <w:rsid w:val="00854D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ConsPlusTitle">
    <w:name w:val="ConsPlusTitle"/>
    <w:uiPriority w:val="99"/>
    <w:qFormat/>
    <w:rsid w:val="0067471D"/>
    <w:pPr>
      <w:widowControl w:val="0"/>
    </w:pPr>
    <w:rPr>
      <w:rFonts w:ascii="Arial" w:hAnsi="Arial" w:cs="Arial"/>
      <w:b/>
      <w:bCs/>
      <w:sz w:val="24"/>
      <w:szCs w:val="24"/>
    </w:rPr>
  </w:style>
  <w:style w:type="paragraph" w:styleId="32">
    <w:name w:val="Body Text Indent 3"/>
    <w:basedOn w:val="a1"/>
    <w:qFormat/>
    <w:rsid w:val="001A00F2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ConsPlusNormal">
    <w:name w:val="ConsPlusNormal"/>
    <w:qFormat/>
    <w:rsid w:val="001A00F2"/>
    <w:pPr>
      <w:widowControl w:val="0"/>
      <w:ind w:firstLine="720"/>
    </w:pPr>
    <w:rPr>
      <w:rFonts w:ascii="Arial" w:hAnsi="Arial" w:cs="Arial"/>
      <w:sz w:val="24"/>
      <w:szCs w:val="24"/>
    </w:rPr>
  </w:style>
  <w:style w:type="paragraph" w:styleId="aff5">
    <w:name w:val="Body Text Indent"/>
    <w:basedOn w:val="a1"/>
    <w:uiPriority w:val="99"/>
    <w:rsid w:val="001A00F2"/>
    <w:pPr>
      <w:spacing w:after="120"/>
      <w:ind w:left="283"/>
    </w:pPr>
    <w:rPr>
      <w:rFonts w:ascii="Arial" w:hAnsi="Arial"/>
      <w:szCs w:val="28"/>
      <w:lang w:val="x-none" w:eastAsia="x-none"/>
    </w:rPr>
  </w:style>
  <w:style w:type="paragraph" w:customStyle="1" w:styleId="10">
    <w:name w:val="Без интервала1"/>
    <w:link w:val="ListParagraphChar1"/>
    <w:qFormat/>
    <w:rsid w:val="002F4C0E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  <w:lang w:eastAsia="en-US"/>
    </w:rPr>
  </w:style>
  <w:style w:type="paragraph" w:styleId="aff6">
    <w:name w:val="footnote text"/>
    <w:basedOn w:val="a1"/>
    <w:uiPriority w:val="99"/>
    <w:rsid w:val="002F4C0E"/>
    <w:pPr>
      <w:widowControl w:val="0"/>
      <w:spacing w:line="300" w:lineRule="auto"/>
      <w:ind w:left="80" w:firstLine="800"/>
      <w:jc w:val="both"/>
    </w:pPr>
    <w:rPr>
      <w:rFonts w:eastAsia="Calibri"/>
      <w:sz w:val="20"/>
      <w:szCs w:val="20"/>
      <w:lang w:val="x-none" w:eastAsia="x-none"/>
    </w:rPr>
  </w:style>
  <w:style w:type="paragraph" w:customStyle="1" w:styleId="Iaeaaeaiea2">
    <w:name w:val="Iaeaaeaiea 2"/>
    <w:basedOn w:val="a1"/>
    <w:next w:val="a1"/>
    <w:qFormat/>
    <w:rsid w:val="00A02CFC"/>
    <w:rPr>
      <w:rFonts w:eastAsia="Calibri"/>
      <w:lang w:eastAsia="en-US"/>
    </w:rPr>
  </w:style>
  <w:style w:type="paragraph" w:styleId="24">
    <w:name w:val="Body Text Indent 2"/>
    <w:basedOn w:val="a1"/>
    <w:unhideWhenUsed/>
    <w:qFormat/>
    <w:rsid w:val="003062AD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a">
    <w:name w:val="НИР_список"/>
    <w:basedOn w:val="a1"/>
    <w:qFormat/>
    <w:rsid w:val="003A433F"/>
    <w:pPr>
      <w:numPr>
        <w:numId w:val="1"/>
      </w:numPr>
      <w:spacing w:line="360" w:lineRule="auto"/>
      <w:ind w:left="0" w:firstLine="709"/>
      <w:jc w:val="both"/>
    </w:pPr>
    <w:rPr>
      <w:sz w:val="28"/>
      <w:szCs w:val="28"/>
    </w:rPr>
  </w:style>
  <w:style w:type="paragraph" w:customStyle="1" w:styleId="210">
    <w:name w:val="Основной текст 2 Знак1"/>
    <w:basedOn w:val="a"/>
    <w:link w:val="25"/>
    <w:qFormat/>
    <w:rsid w:val="003A433F"/>
    <w:pPr>
      <w:ind w:firstLine="1134"/>
    </w:pPr>
  </w:style>
  <w:style w:type="paragraph" w:customStyle="1" w:styleId="13">
    <w:name w:val="заголовок 1"/>
    <w:basedOn w:val="a1"/>
    <w:next w:val="a1"/>
    <w:qFormat/>
    <w:rsid w:val="00E91CB5"/>
    <w:pPr>
      <w:keepNext/>
    </w:pPr>
    <w:rPr>
      <w:sz w:val="28"/>
      <w:szCs w:val="20"/>
    </w:rPr>
  </w:style>
  <w:style w:type="paragraph" w:customStyle="1" w:styleId="msonormalbullet2gif">
    <w:name w:val="msonormalbullet2.gif"/>
    <w:basedOn w:val="a1"/>
    <w:qFormat/>
    <w:rsid w:val="00E91CB5"/>
    <w:pPr>
      <w:spacing w:beforeAutospacing="1" w:afterAutospacing="1"/>
    </w:pPr>
  </w:style>
  <w:style w:type="paragraph" w:styleId="aff7">
    <w:name w:val="Normal (Web)"/>
    <w:basedOn w:val="a1"/>
    <w:uiPriority w:val="99"/>
    <w:unhideWhenUsed/>
    <w:qFormat/>
    <w:rsid w:val="00A62253"/>
    <w:pPr>
      <w:spacing w:beforeAutospacing="1" w:afterAutospacing="1"/>
    </w:pPr>
  </w:style>
  <w:style w:type="paragraph" w:customStyle="1" w:styleId="aff8">
    <w:name w:val="НИР_сноски"/>
    <w:basedOn w:val="aff6"/>
    <w:qFormat/>
    <w:rsid w:val="00A62253"/>
    <w:pPr>
      <w:widowControl/>
      <w:spacing w:line="240" w:lineRule="auto"/>
      <w:ind w:left="0" w:firstLine="567"/>
    </w:pPr>
    <w:rPr>
      <w:rFonts w:eastAsia="Times New Roman"/>
    </w:rPr>
  </w:style>
  <w:style w:type="paragraph" w:customStyle="1" w:styleId="14">
    <w:name w:val="Абзац списка1"/>
    <w:basedOn w:val="a1"/>
    <w:qFormat/>
    <w:rsid w:val="008226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paragraph" w:customStyle="1" w:styleId="16pt">
    <w:name w:val="Обычный + 16 pt"/>
    <w:basedOn w:val="a1"/>
    <w:link w:val="ad"/>
    <w:qFormat/>
    <w:rsid w:val="00605A76"/>
    <w:pPr>
      <w:spacing w:line="360" w:lineRule="auto"/>
      <w:ind w:firstLine="709"/>
      <w:jc w:val="both"/>
    </w:pPr>
    <w:rPr>
      <w:sz w:val="32"/>
      <w:lang w:val="x-none" w:eastAsia="x-none"/>
    </w:rPr>
  </w:style>
  <w:style w:type="paragraph" w:customStyle="1" w:styleId="aff9">
    <w:name w:val="список с точками"/>
    <w:basedOn w:val="a1"/>
    <w:qFormat/>
    <w:rsid w:val="00D56EB0"/>
    <w:pPr>
      <w:tabs>
        <w:tab w:val="left" w:pos="756"/>
        <w:tab w:val="left" w:pos="1776"/>
      </w:tabs>
      <w:spacing w:line="312" w:lineRule="auto"/>
      <w:ind w:left="756" w:hanging="360"/>
      <w:jc w:val="both"/>
    </w:pPr>
  </w:style>
  <w:style w:type="paragraph" w:customStyle="1" w:styleId="a0">
    <w:name w:val="Маркировка"/>
    <w:basedOn w:val="a1"/>
    <w:qFormat/>
    <w:rsid w:val="00D56EB0"/>
    <w:pPr>
      <w:numPr>
        <w:numId w:val="2"/>
      </w:numPr>
      <w:spacing w:before="120" w:after="120"/>
      <w:jc w:val="both"/>
    </w:pPr>
    <w:rPr>
      <w:rFonts w:ascii="Book Antiqua" w:eastAsia="Calibri" w:hAnsi="Book Antiqua"/>
      <w:sz w:val="20"/>
      <w:szCs w:val="22"/>
      <w:lang w:eastAsia="en-US"/>
    </w:rPr>
  </w:style>
  <w:style w:type="paragraph" w:styleId="25">
    <w:name w:val="Body Text 2"/>
    <w:basedOn w:val="a1"/>
    <w:link w:val="210"/>
    <w:qFormat/>
    <w:rsid w:val="00E31346"/>
    <w:pPr>
      <w:spacing w:after="120" w:line="480" w:lineRule="auto"/>
    </w:pPr>
    <w:rPr>
      <w:lang w:val="x-none" w:eastAsia="x-none"/>
    </w:rPr>
  </w:style>
  <w:style w:type="paragraph" w:styleId="affa">
    <w:name w:val="annotation text"/>
    <w:basedOn w:val="a1"/>
    <w:unhideWhenUsed/>
    <w:qFormat/>
    <w:rsid w:val="004129C4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paragraph" w:customStyle="1" w:styleId="affb">
    <w:name w:val="текст"/>
    <w:qFormat/>
    <w:rsid w:val="00673F2F"/>
    <w:rPr>
      <w:rFonts w:eastAsia="Calibri"/>
      <w:sz w:val="28"/>
      <w:szCs w:val="28"/>
    </w:rPr>
  </w:style>
  <w:style w:type="paragraph" w:styleId="affc">
    <w:name w:val="annotation subject"/>
    <w:basedOn w:val="affa"/>
    <w:next w:val="affa"/>
    <w:qFormat/>
    <w:rsid w:val="007B06FE"/>
    <w:pPr>
      <w:spacing w:after="0" w:line="240" w:lineRule="auto"/>
    </w:pPr>
    <w:rPr>
      <w:rFonts w:ascii="Times New Roman" w:hAnsi="Times New Roman"/>
      <w:b/>
      <w:bCs/>
      <w:lang w:eastAsia="ru-RU"/>
    </w:rPr>
  </w:style>
  <w:style w:type="paragraph" w:styleId="affd">
    <w:name w:val="Revision"/>
    <w:uiPriority w:val="99"/>
    <w:semiHidden/>
    <w:qFormat/>
    <w:rsid w:val="007B06FE"/>
    <w:rPr>
      <w:sz w:val="24"/>
      <w:szCs w:val="24"/>
    </w:rPr>
  </w:style>
  <w:style w:type="paragraph" w:styleId="affe">
    <w:name w:val="Plain Text"/>
    <w:basedOn w:val="a1"/>
    <w:qFormat/>
    <w:rsid w:val="007201C6"/>
    <w:rPr>
      <w:rFonts w:ascii="Courier New" w:eastAsia="Calibri" w:hAnsi="Courier New"/>
      <w:sz w:val="20"/>
      <w:szCs w:val="20"/>
      <w:lang w:val="x-none"/>
    </w:rPr>
  </w:style>
  <w:style w:type="paragraph" w:styleId="afff">
    <w:name w:val="header"/>
    <w:basedOn w:val="a1"/>
    <w:unhideWhenUsed/>
    <w:rsid w:val="00021FF6"/>
    <w:pPr>
      <w:tabs>
        <w:tab w:val="center" w:pos="4677"/>
        <w:tab w:val="right" w:pos="9355"/>
      </w:tabs>
    </w:pPr>
  </w:style>
  <w:style w:type="paragraph" w:styleId="z-1">
    <w:name w:val="HTML Top of Form"/>
    <w:basedOn w:val="a1"/>
    <w:next w:val="a1"/>
    <w:uiPriority w:val="99"/>
    <w:semiHidden/>
    <w:unhideWhenUsed/>
    <w:qFormat/>
    <w:rsid w:val="00F464A0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1"/>
    <w:next w:val="a1"/>
    <w:uiPriority w:val="99"/>
    <w:semiHidden/>
    <w:unhideWhenUsed/>
    <w:qFormat/>
    <w:rsid w:val="00F464A0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jsx-4247481572">
    <w:name w:val="jsx-4247481572"/>
    <w:basedOn w:val="a1"/>
    <w:qFormat/>
    <w:rsid w:val="00CA1197"/>
    <w:pPr>
      <w:spacing w:beforeAutospacing="1" w:afterAutospacing="1"/>
    </w:pPr>
  </w:style>
  <w:style w:type="paragraph" w:customStyle="1" w:styleId="afff0">
    <w:name w:val="Глава"/>
    <w:basedOn w:val="a1"/>
    <w:qFormat/>
    <w:rsid w:val="00B563B4"/>
    <w:pPr>
      <w:spacing w:line="360" w:lineRule="auto"/>
      <w:ind w:firstLine="851"/>
      <w:jc w:val="both"/>
    </w:pPr>
    <w:rPr>
      <w:rFonts w:eastAsia="Calibri"/>
      <w:b/>
      <w:sz w:val="28"/>
      <w:szCs w:val="28"/>
      <w:lang w:eastAsia="en-US"/>
    </w:rPr>
  </w:style>
  <w:style w:type="paragraph" w:customStyle="1" w:styleId="Normal140">
    <w:name w:val="Normal 14"/>
    <w:basedOn w:val="a1"/>
    <w:qFormat/>
    <w:rsid w:val="006F2EDC"/>
    <w:pPr>
      <w:spacing w:line="360" w:lineRule="exact"/>
      <w:ind w:firstLine="720"/>
      <w:jc w:val="both"/>
    </w:pPr>
    <w:rPr>
      <w:sz w:val="28"/>
      <w:szCs w:val="28"/>
    </w:rPr>
  </w:style>
  <w:style w:type="paragraph" w:customStyle="1" w:styleId="Style1">
    <w:name w:val="Style1"/>
    <w:basedOn w:val="a1"/>
    <w:qFormat/>
    <w:rsid w:val="008F7A1B"/>
    <w:pPr>
      <w:widowControl w:val="0"/>
      <w:spacing w:line="100" w:lineRule="atLeast"/>
    </w:pPr>
    <w:rPr>
      <w:rFonts w:cs="font298"/>
      <w:lang w:eastAsia="ar-SA"/>
    </w:rPr>
  </w:style>
  <w:style w:type="paragraph" w:customStyle="1" w:styleId="Style2">
    <w:name w:val="Style2"/>
    <w:basedOn w:val="a1"/>
    <w:qFormat/>
    <w:rsid w:val="008F7A1B"/>
    <w:pPr>
      <w:widowControl w:val="0"/>
      <w:spacing w:line="100" w:lineRule="atLeast"/>
    </w:pPr>
    <w:rPr>
      <w:rFonts w:cs="font298"/>
      <w:lang w:eastAsia="ar-SA"/>
    </w:rPr>
  </w:style>
  <w:style w:type="paragraph" w:customStyle="1" w:styleId="Style3">
    <w:name w:val="Style3"/>
    <w:basedOn w:val="a1"/>
    <w:qFormat/>
    <w:rsid w:val="008F7A1B"/>
    <w:pPr>
      <w:widowControl w:val="0"/>
      <w:spacing w:line="274" w:lineRule="exact"/>
      <w:jc w:val="center"/>
    </w:pPr>
    <w:rPr>
      <w:rFonts w:cs="font298"/>
      <w:lang w:eastAsia="ar-SA"/>
    </w:rPr>
  </w:style>
  <w:style w:type="paragraph" w:customStyle="1" w:styleId="Style5">
    <w:name w:val="Style5"/>
    <w:basedOn w:val="a1"/>
    <w:qFormat/>
    <w:rsid w:val="008F7A1B"/>
    <w:pPr>
      <w:widowControl w:val="0"/>
      <w:spacing w:line="100" w:lineRule="atLeast"/>
    </w:pPr>
    <w:rPr>
      <w:rFonts w:cs="font298"/>
      <w:lang w:eastAsia="ar-SA"/>
    </w:rPr>
  </w:style>
  <w:style w:type="paragraph" w:customStyle="1" w:styleId="Style6">
    <w:name w:val="Style6"/>
    <w:basedOn w:val="a1"/>
    <w:qFormat/>
    <w:rsid w:val="008F7A1B"/>
    <w:pPr>
      <w:widowControl w:val="0"/>
      <w:spacing w:line="100" w:lineRule="atLeast"/>
    </w:pPr>
    <w:rPr>
      <w:rFonts w:cs="font298"/>
      <w:lang w:eastAsia="ar-SA"/>
    </w:rPr>
  </w:style>
  <w:style w:type="paragraph" w:customStyle="1" w:styleId="Style7">
    <w:name w:val="Style7"/>
    <w:basedOn w:val="a1"/>
    <w:qFormat/>
    <w:rsid w:val="008F7A1B"/>
    <w:pPr>
      <w:widowControl w:val="0"/>
      <w:spacing w:line="100" w:lineRule="atLeast"/>
    </w:pPr>
    <w:rPr>
      <w:rFonts w:cs="font298"/>
      <w:lang w:eastAsia="ar-SA"/>
    </w:rPr>
  </w:style>
  <w:style w:type="paragraph" w:customStyle="1" w:styleId="26">
    <w:name w:val="Абзац списка2"/>
    <w:basedOn w:val="a1"/>
    <w:qFormat/>
    <w:rsid w:val="008F7A1B"/>
    <w:pPr>
      <w:spacing w:line="100" w:lineRule="atLeast"/>
      <w:ind w:left="720"/>
    </w:pPr>
    <w:rPr>
      <w:lang w:eastAsia="ar-SA"/>
    </w:rPr>
  </w:style>
  <w:style w:type="paragraph" w:customStyle="1" w:styleId="afff1">
    <w:name w:val="???????"/>
    <w:qFormat/>
    <w:rsid w:val="008F7A1B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6" w:lineRule="auto"/>
    </w:pPr>
    <w:rPr>
      <w:rFonts w:ascii="Microsoft YaHei" w:eastAsia="Microsoft YaHei" w:hAnsi="Microsoft YaHei" w:cs="Microsoft YaHei"/>
      <w:color w:val="000000"/>
      <w:kern w:val="2"/>
      <w:sz w:val="36"/>
      <w:szCs w:val="36"/>
      <w:lang w:eastAsia="hi-IN" w:bidi="hi-IN"/>
    </w:rPr>
  </w:style>
  <w:style w:type="paragraph" w:styleId="afff2">
    <w:name w:val="Subtitle"/>
    <w:basedOn w:val="a1"/>
    <w:next w:val="a1"/>
    <w:uiPriority w:val="11"/>
    <w:qFormat/>
    <w:rsid w:val="00C04457"/>
    <w:pPr>
      <w:widowControl w:val="0"/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Default">
    <w:name w:val="Default"/>
    <w:qFormat/>
    <w:rsid w:val="00022DDD"/>
    <w:rPr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1"/>
    <w:qFormat/>
    <w:rsid w:val="00022DDD"/>
    <w:pPr>
      <w:widowControl w:val="0"/>
    </w:pPr>
    <w:rPr>
      <w:sz w:val="22"/>
      <w:szCs w:val="22"/>
      <w:lang w:bidi="ru-RU"/>
    </w:rPr>
  </w:style>
  <w:style w:type="paragraph" w:customStyle="1" w:styleId="afff3">
    <w:name w:val="Содержимое врезки"/>
    <w:basedOn w:val="a1"/>
    <w:qFormat/>
  </w:style>
  <w:style w:type="paragraph" w:customStyle="1" w:styleId="afff4">
    <w:name w:val="Содержимое таблицы"/>
    <w:basedOn w:val="a1"/>
    <w:qFormat/>
    <w:pPr>
      <w:widowControl w:val="0"/>
      <w:suppressLineNumbers/>
    </w:pPr>
  </w:style>
  <w:style w:type="paragraph" w:customStyle="1" w:styleId="afff5">
    <w:name w:val="Заголовок таблицы"/>
    <w:basedOn w:val="afff4"/>
    <w:qFormat/>
    <w:pPr>
      <w:jc w:val="center"/>
    </w:pPr>
    <w:rPr>
      <w:b/>
      <w:bCs/>
    </w:rPr>
  </w:style>
  <w:style w:type="table" w:styleId="afff6">
    <w:name w:val="Table Grid"/>
    <w:basedOn w:val="a3"/>
    <w:uiPriority w:val="59"/>
    <w:rsid w:val="00D82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3"/>
    <w:uiPriority w:val="39"/>
    <w:rsid w:val="00EF4D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39"/>
    <w:rsid w:val="0098019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uiPriority w:val="39"/>
    <w:rsid w:val="0098019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3"/>
    <w:uiPriority w:val="39"/>
    <w:rsid w:val="00A60C7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1937" TargetMode="External"/><Relationship Id="rId13" Type="http://schemas.openxmlformats.org/officeDocument/2006/relationships/hyperlink" Target="http://www.eba.europa.eu/" TargetMode="External"/><Relationship Id="rId18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ecb.europa.e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osco.org/" TargetMode="External"/><Relationship Id="rId20" Type="http://schemas.openxmlformats.org/officeDocument/2006/relationships/hyperlink" Target="http://www.skr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c.go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cmagroup.org/" TargetMode="External"/><Relationship Id="rId10" Type="http://schemas.openxmlformats.org/officeDocument/2006/relationships/hyperlink" Target="https://www.tradingview.com/" TargetMode="Externa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art2022/bv1751.pdf" TargetMode="External"/><Relationship Id="rId14" Type="http://schemas.openxmlformats.org/officeDocument/2006/relationships/hyperlink" Target="http://www.esma.europa.e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CD81D-5653-490D-983E-C7B6D801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27</Pages>
  <Words>6914</Words>
  <Characters>39412</Characters>
  <Application>Microsoft Office Word</Application>
  <DocSecurity>0</DocSecurity>
  <Lines>328</Lines>
  <Paragraphs>92</Paragraphs>
  <ScaleCrop>false</ScaleCrop>
  <Company>Финуниверситет</Company>
  <LinksUpToDate>false</LinksUpToDate>
  <CharactersWithSpaces>46234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РПД_БРиБИ_ФМиАР</dc:title>
  <dc:subject/>
  <dc:creator>Чернышова</dc:creator>
  <dc:description/>
  <cp:lastModifiedBy>Граждан Оксана Николаевна</cp:lastModifiedBy>
  <cp:revision>12</cp:revision>
  <cp:lastPrinted>2024-01-09T10:37:00Z</cp:lastPrinted>
  <dcterms:created xsi:type="dcterms:W3CDTF">2024-02-06T07:49:00Z</dcterms:created>
  <dcterms:modified xsi:type="dcterms:W3CDTF">2024-04-10T13:46:00Z</dcterms:modified>
  <dc:language>ru-RU</dc:language>
</cp:coreProperties>
</file>